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8CD0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A5E61C5">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1D9BA4E">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01.10</w:t>
            </w:r>
            <w:r>
              <w:rPr>
                <w:rFonts w:ascii="黑体" w:hAnsi="黑体" w:eastAsia="黑体"/>
                <w:sz w:val="21"/>
                <w:szCs w:val="21"/>
              </w:rPr>
              <w:fldChar w:fldCharType="end"/>
            </w:r>
            <w:bookmarkEnd w:id="0"/>
          </w:p>
        </w:tc>
      </w:tr>
      <w:tr w14:paraId="4153D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B85ECA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D33243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BD45E50">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4E0217B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F 04</w:t>
            </w:r>
            <w:r>
              <w:rPr>
                <w:rFonts w:ascii="黑体" w:hAnsi="黑体" w:eastAsia="黑体"/>
                <w:sz w:val="21"/>
                <w:szCs w:val="21"/>
              </w:rPr>
              <w:fldChar w:fldCharType="end"/>
            </w:r>
            <w:bookmarkEnd w:id="2"/>
          </w:p>
        </w:tc>
      </w:tr>
    </w:tbl>
    <w:p w14:paraId="47A61E90">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lang w:eastAsia="zh-CN"/>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AEF6503">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2026</w:t>
      </w:r>
      <w:r>
        <w:fldChar w:fldCharType="end"/>
      </w:r>
      <w:bookmarkEnd w:id="7"/>
    </w:p>
    <w:p w14:paraId="5D02F0BD">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4DA7BE5">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CCFD5FC">
      <w:pPr>
        <w:pStyle w:val="50"/>
        <w:framePr w:w="9639" w:h="6976" w:hRule="exact" w:hSpace="0" w:vSpace="0" w:wrap="around" w:hAnchor="page" w:y="6408"/>
        <w:jc w:val="center"/>
        <w:rPr>
          <w:rFonts w:hint="eastAsia" w:ascii="黑体" w:hAnsi="黑体" w:eastAsia="黑体"/>
          <w:b w:val="0"/>
          <w:bCs w:val="0"/>
          <w:w w:val="100"/>
        </w:rPr>
      </w:pPr>
    </w:p>
    <w:p w14:paraId="2C50FD90">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温室气体 产品碳足迹量化方法与要求 电解二氧化锰</w:t>
      </w:r>
      <w:r>
        <w:fldChar w:fldCharType="end"/>
      </w:r>
      <w:bookmarkEnd w:id="9"/>
    </w:p>
    <w:p w14:paraId="3A1C4F0F">
      <w:pPr>
        <w:framePr w:w="9639" w:h="6974" w:hRule="exact" w:wrap="around" w:vAnchor="page" w:hAnchor="page" w:x="1419" w:y="6408" w:anchorLock="1"/>
        <w:ind w:left="-1418"/>
      </w:pPr>
    </w:p>
    <w:p w14:paraId="6B11D2CE">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Greenhouse gases—Quantification methods and requirements for carbon footprint of product—Electrolytic manganese dioxide</w:t>
      </w:r>
      <w:r>
        <w:rPr>
          <w:rFonts w:eastAsia="黑体"/>
          <w:szCs w:val="28"/>
        </w:rPr>
        <w:t>     </w:t>
      </w:r>
      <w:r>
        <w:rPr>
          <w:rFonts w:eastAsia="黑体"/>
          <w:szCs w:val="28"/>
        </w:rPr>
        <w:fldChar w:fldCharType="end"/>
      </w:r>
      <w:bookmarkEnd w:id="10"/>
    </w:p>
    <w:p w14:paraId="25D1194E">
      <w:pPr>
        <w:framePr w:w="9639" w:h="6974" w:hRule="exact" w:wrap="around" w:vAnchor="page" w:hAnchor="page" w:x="1419" w:y="6408" w:anchorLock="1"/>
        <w:spacing w:line="760" w:lineRule="exact"/>
        <w:ind w:left="-1418"/>
      </w:pPr>
    </w:p>
    <w:p w14:paraId="61C49189">
      <w:pPr>
        <w:pStyle w:val="125"/>
        <w:framePr w:w="9639" w:h="6974" w:hRule="exact" w:wrap="around" w:vAnchor="page" w:hAnchor="page" w:x="1419" w:y="6408" w:anchorLock="1"/>
        <w:textAlignment w:val="bottom"/>
        <w:rPr>
          <w:rFonts w:eastAsia="黑体"/>
          <w:szCs w:val="28"/>
        </w:rPr>
      </w:pPr>
    </w:p>
    <w:p w14:paraId="4D102A8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03D781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（本草案完成时间：2026年</w:t>
      </w:r>
      <w:r>
        <w:rPr>
          <w:rFonts w:hint="eastAsia"/>
          <w:sz w:val="21"/>
          <w:szCs w:val="28"/>
          <w:lang w:val="en-US" w:eastAsia="zh-CN"/>
        </w:rPr>
        <w:t>2</w:t>
      </w:r>
      <w:r>
        <w:rPr>
          <w:rFonts w:hint="eastAsia"/>
          <w:sz w:val="21"/>
          <w:szCs w:val="28"/>
        </w:rPr>
        <w:t>月）</w:t>
      </w:r>
      <w:r>
        <w:rPr>
          <w:sz w:val="21"/>
          <w:szCs w:val="28"/>
        </w:rPr>
        <w:fldChar w:fldCharType="end"/>
      </w:r>
      <w:bookmarkEnd w:id="12"/>
    </w:p>
    <w:p w14:paraId="51357A9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BAC4049">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A2ADB14">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9236EB4">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F5A9A1A">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1D69F74">
      <w:pPr>
        <w:pStyle w:val="91"/>
        <w:spacing w:after="360"/>
        <w:rPr>
          <w:rFonts w:hint="eastAsia" w:eastAsia="黑体"/>
          <w:lang w:eastAsia="zh-CN"/>
        </w:rPr>
      </w:pPr>
      <w:bookmarkStart w:id="21" w:name="BookMark1"/>
      <w:bookmarkStart w:id="22" w:name="_Toc219754409"/>
      <w:bookmarkStart w:id="23" w:name="_Toc218632273"/>
      <w:bookmarkStart w:id="24" w:name="_Toc219754361"/>
      <w:bookmarkStart w:id="25" w:name="_Toc218628357"/>
      <w:bookmarkStart w:id="26" w:name="_Toc218628345"/>
      <w:r>
        <w:rPr>
          <w:rFonts w:hint="eastAsia"/>
          <w:spacing w:val="320"/>
        </w:rPr>
        <w:t>目</w:t>
      </w:r>
      <w:r>
        <w:rPr>
          <w:rFonts w:hint="eastAsia"/>
          <w:lang w:val="en-US" w:eastAsia="zh-CN"/>
        </w:rPr>
        <w:t>录</w:t>
      </w:r>
    </w:p>
    <w:p w14:paraId="4DB0BA5A">
      <w:pPr>
        <w:pStyle w:val="19"/>
        <w:tabs>
          <w:tab w:val="right" w:leader="dot" w:pos="9354"/>
        </w:tabs>
      </w:pPr>
      <w:r>
        <w:fldChar w:fldCharType="begin"/>
      </w:r>
      <w:r>
        <w:instrText xml:space="preserve"> TOC \o "1-1" \h </w:instrText>
      </w:r>
      <w:r>
        <w:fldChar w:fldCharType="separate"/>
      </w:r>
      <w:r>
        <w:fldChar w:fldCharType="begin"/>
      </w:r>
      <w:r>
        <w:instrText xml:space="preserve"> HYPERLINK \l _Toc23163 </w:instrText>
      </w:r>
      <w:r>
        <w:fldChar w:fldCharType="separate"/>
      </w:r>
      <w:r>
        <w:rPr>
          <w:rFonts w:hint="eastAsia"/>
          <w:spacing w:val="320"/>
        </w:rPr>
        <w:t>前</w:t>
      </w:r>
      <w:r>
        <w:rPr>
          <w:rFonts w:hint="eastAsia"/>
        </w:rPr>
        <w:t>言</w:t>
      </w:r>
      <w:r>
        <w:tab/>
      </w:r>
      <w:r>
        <w:fldChar w:fldCharType="begin"/>
      </w:r>
      <w:r>
        <w:instrText xml:space="preserve"> PAGEREF _Toc23163 \h </w:instrText>
      </w:r>
      <w:r>
        <w:fldChar w:fldCharType="separate"/>
      </w:r>
      <w:r>
        <w:t>II</w:t>
      </w:r>
      <w:r>
        <w:fldChar w:fldCharType="end"/>
      </w:r>
      <w:r>
        <w:fldChar w:fldCharType="end"/>
      </w:r>
    </w:p>
    <w:p w14:paraId="53960153">
      <w:pPr>
        <w:pStyle w:val="19"/>
        <w:tabs>
          <w:tab w:val="right" w:leader="dot" w:pos="9354"/>
        </w:tabs>
      </w:pPr>
      <w:r>
        <w:fldChar w:fldCharType="begin"/>
      </w:r>
      <w:r>
        <w:instrText xml:space="preserve"> HYPERLINK \l _Toc27537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_Toc27537 \h </w:instrText>
      </w:r>
      <w:r>
        <w:fldChar w:fldCharType="separate"/>
      </w:r>
      <w:r>
        <w:t>1</w:t>
      </w:r>
      <w:r>
        <w:fldChar w:fldCharType="end"/>
      </w:r>
      <w:r>
        <w:fldChar w:fldCharType="end"/>
      </w:r>
    </w:p>
    <w:p w14:paraId="64EE62CC">
      <w:pPr>
        <w:pStyle w:val="19"/>
        <w:tabs>
          <w:tab w:val="right" w:leader="dot" w:pos="9354"/>
        </w:tabs>
      </w:pPr>
      <w:r>
        <w:fldChar w:fldCharType="begin"/>
      </w:r>
      <w:r>
        <w:instrText xml:space="preserve"> HYPERLINK \l _Toc10674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_Toc10674 \h </w:instrText>
      </w:r>
      <w:r>
        <w:fldChar w:fldCharType="separate"/>
      </w:r>
      <w:r>
        <w:t>1</w:t>
      </w:r>
      <w:r>
        <w:fldChar w:fldCharType="end"/>
      </w:r>
      <w:r>
        <w:fldChar w:fldCharType="end"/>
      </w:r>
    </w:p>
    <w:p w14:paraId="7A60F33C">
      <w:pPr>
        <w:pStyle w:val="19"/>
        <w:tabs>
          <w:tab w:val="right" w:leader="dot" w:pos="9354"/>
        </w:tabs>
      </w:pPr>
      <w:r>
        <w:fldChar w:fldCharType="begin"/>
      </w:r>
      <w:r>
        <w:instrText xml:space="preserve"> HYPERLINK \l _Toc3025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_Toc3025 \h </w:instrText>
      </w:r>
      <w:r>
        <w:fldChar w:fldCharType="separate"/>
      </w:r>
      <w:r>
        <w:t>1</w:t>
      </w:r>
      <w:r>
        <w:fldChar w:fldCharType="end"/>
      </w:r>
      <w:r>
        <w:fldChar w:fldCharType="end"/>
      </w:r>
    </w:p>
    <w:p w14:paraId="0FB984D7">
      <w:pPr>
        <w:pStyle w:val="19"/>
        <w:tabs>
          <w:tab w:val="right" w:leader="dot" w:pos="9354"/>
        </w:tabs>
      </w:pPr>
      <w:r>
        <w:fldChar w:fldCharType="begin"/>
      </w:r>
      <w:r>
        <w:instrText xml:space="preserve"> HYPERLINK \l _Toc32221 </w:instrText>
      </w:r>
      <w:r>
        <w:fldChar w:fldCharType="separate"/>
      </w:r>
      <w:r>
        <w:rPr>
          <w:rFonts w:hint="eastAsia" w:ascii="黑体" w:eastAsia="黑体"/>
          <w:i w:val="0"/>
        </w:rPr>
        <w:t xml:space="preserve">4 </w:t>
      </w:r>
      <w:r>
        <w:rPr>
          <w:rFonts w:hint="eastAsia"/>
        </w:rPr>
        <w:t>量化目的</w:t>
      </w:r>
      <w:r>
        <w:tab/>
      </w:r>
      <w:r>
        <w:fldChar w:fldCharType="begin"/>
      </w:r>
      <w:r>
        <w:instrText xml:space="preserve"> PAGEREF _Toc32221 \h </w:instrText>
      </w:r>
      <w:r>
        <w:fldChar w:fldCharType="separate"/>
      </w:r>
      <w:r>
        <w:t>3</w:t>
      </w:r>
      <w:r>
        <w:fldChar w:fldCharType="end"/>
      </w:r>
      <w:r>
        <w:fldChar w:fldCharType="end"/>
      </w:r>
    </w:p>
    <w:p w14:paraId="1B10A38A">
      <w:pPr>
        <w:pStyle w:val="19"/>
        <w:tabs>
          <w:tab w:val="right" w:leader="dot" w:pos="9354"/>
        </w:tabs>
      </w:pPr>
      <w:r>
        <w:fldChar w:fldCharType="begin"/>
      </w:r>
      <w:r>
        <w:instrText xml:space="preserve"> HYPERLINK \l _Toc21681 </w:instrText>
      </w:r>
      <w:r>
        <w:fldChar w:fldCharType="separate"/>
      </w:r>
      <w:r>
        <w:rPr>
          <w:rFonts w:hint="eastAsia" w:ascii="黑体" w:eastAsia="黑体"/>
          <w:i w:val="0"/>
        </w:rPr>
        <w:t xml:space="preserve">5 </w:t>
      </w:r>
      <w:r>
        <w:rPr>
          <w:rFonts w:hint="eastAsia"/>
        </w:rPr>
        <w:t>量化范围</w:t>
      </w:r>
      <w:r>
        <w:tab/>
      </w:r>
      <w:r>
        <w:fldChar w:fldCharType="begin"/>
      </w:r>
      <w:r>
        <w:instrText xml:space="preserve"> PAGEREF _Toc21681 \h </w:instrText>
      </w:r>
      <w:r>
        <w:fldChar w:fldCharType="separate"/>
      </w:r>
      <w:r>
        <w:t>3</w:t>
      </w:r>
      <w:r>
        <w:fldChar w:fldCharType="end"/>
      </w:r>
      <w:r>
        <w:fldChar w:fldCharType="end"/>
      </w:r>
    </w:p>
    <w:p w14:paraId="461FD9EF">
      <w:pPr>
        <w:pStyle w:val="19"/>
        <w:tabs>
          <w:tab w:val="right" w:leader="dot" w:pos="9354"/>
        </w:tabs>
      </w:pPr>
      <w:r>
        <w:fldChar w:fldCharType="begin"/>
      </w:r>
      <w:r>
        <w:instrText xml:space="preserve"> HYPERLINK \l _Toc9916 </w:instrText>
      </w:r>
      <w:r>
        <w:fldChar w:fldCharType="separate"/>
      </w:r>
      <w:r>
        <w:rPr>
          <w:rFonts w:hint="eastAsia" w:ascii="黑体" w:eastAsia="黑体"/>
          <w:i w:val="0"/>
        </w:rPr>
        <w:t xml:space="preserve">6 </w:t>
      </w:r>
      <w:r>
        <w:rPr>
          <w:rFonts w:hint="eastAsia"/>
        </w:rPr>
        <w:t>生命周期清单分析</w:t>
      </w:r>
      <w:r>
        <w:tab/>
      </w:r>
      <w:r>
        <w:fldChar w:fldCharType="begin"/>
      </w:r>
      <w:r>
        <w:instrText xml:space="preserve"> PAGEREF _Toc9916 \h </w:instrText>
      </w:r>
      <w:r>
        <w:fldChar w:fldCharType="separate"/>
      </w:r>
      <w:r>
        <w:t>4</w:t>
      </w:r>
      <w:r>
        <w:fldChar w:fldCharType="end"/>
      </w:r>
      <w:r>
        <w:fldChar w:fldCharType="end"/>
      </w:r>
    </w:p>
    <w:p w14:paraId="6959CBAE">
      <w:pPr>
        <w:pStyle w:val="19"/>
        <w:tabs>
          <w:tab w:val="right" w:leader="dot" w:pos="9354"/>
        </w:tabs>
      </w:pPr>
      <w:r>
        <w:fldChar w:fldCharType="begin"/>
      </w:r>
      <w:r>
        <w:instrText xml:space="preserve"> HYPERLINK \l _Toc21688 </w:instrText>
      </w:r>
      <w:r>
        <w:fldChar w:fldCharType="separate"/>
      </w:r>
      <w:r>
        <w:rPr>
          <w:rFonts w:hint="eastAsia" w:ascii="黑体" w:eastAsia="黑体"/>
          <w:i w:val="0"/>
        </w:rPr>
        <w:t xml:space="preserve">7 </w:t>
      </w:r>
      <w:r>
        <w:rPr>
          <w:rFonts w:hint="eastAsia"/>
        </w:rPr>
        <w:t>影响评价</w:t>
      </w:r>
      <w:r>
        <w:tab/>
      </w:r>
      <w:r>
        <w:fldChar w:fldCharType="begin"/>
      </w:r>
      <w:r>
        <w:instrText xml:space="preserve"> PAGEREF _Toc21688 \h </w:instrText>
      </w:r>
      <w:r>
        <w:fldChar w:fldCharType="separate"/>
      </w:r>
      <w:r>
        <w:t>8</w:t>
      </w:r>
      <w:r>
        <w:fldChar w:fldCharType="end"/>
      </w:r>
      <w:r>
        <w:fldChar w:fldCharType="end"/>
      </w:r>
    </w:p>
    <w:p w14:paraId="649E1476">
      <w:pPr>
        <w:pStyle w:val="19"/>
        <w:tabs>
          <w:tab w:val="right" w:leader="dot" w:pos="9354"/>
        </w:tabs>
      </w:pPr>
      <w:r>
        <w:fldChar w:fldCharType="begin"/>
      </w:r>
      <w:r>
        <w:instrText xml:space="preserve"> HYPERLINK \l _Toc10075 </w:instrText>
      </w:r>
      <w:r>
        <w:fldChar w:fldCharType="separate"/>
      </w:r>
      <w:r>
        <w:rPr>
          <w:rFonts w:hint="eastAsia" w:ascii="黑体" w:eastAsia="黑体"/>
          <w:i w:val="0"/>
        </w:rPr>
        <w:t xml:space="preserve">8 </w:t>
      </w:r>
      <w:r>
        <w:rPr>
          <w:rFonts w:hint="eastAsia"/>
        </w:rPr>
        <w:t>结果解释</w:t>
      </w:r>
      <w:r>
        <w:tab/>
      </w:r>
      <w:r>
        <w:fldChar w:fldCharType="begin"/>
      </w:r>
      <w:r>
        <w:instrText xml:space="preserve"> PAGEREF _Toc10075 \h </w:instrText>
      </w:r>
      <w:r>
        <w:fldChar w:fldCharType="separate"/>
      </w:r>
      <w:r>
        <w:t>10</w:t>
      </w:r>
      <w:r>
        <w:fldChar w:fldCharType="end"/>
      </w:r>
      <w:r>
        <w:fldChar w:fldCharType="end"/>
      </w:r>
    </w:p>
    <w:p w14:paraId="70E8EC24">
      <w:pPr>
        <w:pStyle w:val="19"/>
        <w:tabs>
          <w:tab w:val="right" w:leader="dot" w:pos="9354"/>
        </w:tabs>
      </w:pPr>
      <w:r>
        <w:fldChar w:fldCharType="begin"/>
      </w:r>
      <w:r>
        <w:instrText xml:space="preserve"> HYPERLINK \l _Toc32476 </w:instrText>
      </w:r>
      <w:r>
        <w:fldChar w:fldCharType="separate"/>
      </w:r>
      <w:r>
        <w:rPr>
          <w:rFonts w:hint="eastAsia" w:ascii="黑体" w:eastAsia="黑体"/>
          <w:i w:val="0"/>
        </w:rPr>
        <w:t xml:space="preserve">9 </w:t>
      </w:r>
      <w:r>
        <w:rPr>
          <w:rFonts w:hint="eastAsia"/>
        </w:rPr>
        <w:t>报告内容和格式</w:t>
      </w:r>
      <w:r>
        <w:tab/>
      </w:r>
      <w:r>
        <w:fldChar w:fldCharType="begin"/>
      </w:r>
      <w:r>
        <w:instrText xml:space="preserve"> PAGEREF _Toc32476 \h </w:instrText>
      </w:r>
      <w:r>
        <w:fldChar w:fldCharType="separate"/>
      </w:r>
      <w:r>
        <w:t>10</w:t>
      </w:r>
      <w:r>
        <w:fldChar w:fldCharType="end"/>
      </w:r>
      <w:r>
        <w:fldChar w:fldCharType="end"/>
      </w:r>
    </w:p>
    <w:p w14:paraId="58DAC30F">
      <w:pPr>
        <w:pStyle w:val="19"/>
        <w:tabs>
          <w:tab w:val="right" w:leader="dot" w:pos="9354"/>
        </w:tabs>
      </w:pPr>
      <w:r>
        <w:fldChar w:fldCharType="begin"/>
      </w:r>
      <w:r>
        <w:instrText xml:space="preserve"> HYPERLINK \l _Toc6796 </w:instrText>
      </w:r>
      <w:r>
        <w:fldChar w:fldCharType="separate"/>
      </w:r>
      <w:r>
        <w:rPr>
          <w:rFonts w:hint="eastAsia" w:ascii="黑体" w:eastAsia="黑体"/>
          <w:i w:val="0"/>
        </w:rPr>
        <w:t xml:space="preserve">10 </w:t>
      </w:r>
      <w:r>
        <w:rPr>
          <w:rFonts w:hint="eastAsia"/>
        </w:rPr>
        <w:t>产品碳足迹声明</w:t>
      </w:r>
      <w:r>
        <w:tab/>
      </w:r>
      <w:r>
        <w:fldChar w:fldCharType="begin"/>
      </w:r>
      <w:r>
        <w:instrText xml:space="preserve"> PAGEREF _Toc6796 \h </w:instrText>
      </w:r>
      <w:r>
        <w:fldChar w:fldCharType="separate"/>
      </w:r>
      <w:r>
        <w:t>11</w:t>
      </w:r>
      <w:r>
        <w:fldChar w:fldCharType="end"/>
      </w:r>
      <w:r>
        <w:fldChar w:fldCharType="end"/>
      </w:r>
    </w:p>
    <w:p w14:paraId="54C556CC">
      <w:pPr>
        <w:pStyle w:val="19"/>
        <w:tabs>
          <w:tab w:val="right" w:leader="dot" w:pos="9354"/>
        </w:tabs>
      </w:pPr>
      <w:r>
        <w:fldChar w:fldCharType="begin"/>
      </w:r>
      <w:r>
        <w:instrText xml:space="preserve"> HYPERLINK \l _Toc28560 </w:instrText>
      </w:r>
      <w:r>
        <w:fldChar w:fldCharType="separate"/>
      </w:r>
      <w:r>
        <w:rPr>
          <w:rFonts w:hint="eastAsia"/>
          <w:spacing w:val="100"/>
        </w:rPr>
        <w:t xml:space="preserve">附录A </w:t>
      </w:r>
      <w:r>
        <w:t xml:space="preserve"> </w:t>
      </w:r>
      <w:r>
        <w:rPr>
          <w:rFonts w:hint="eastAsia"/>
        </w:rPr>
        <w:t>（资料性）</w:t>
      </w:r>
      <w:r>
        <w:t xml:space="preserve"> </w:t>
      </w:r>
      <w:r>
        <w:rPr>
          <w:rFonts w:hint="eastAsia"/>
        </w:rPr>
        <w:t>电解二氧化锰生命周期系统边界内各生产单元的温室气体排放源</w:t>
      </w:r>
      <w:r>
        <w:tab/>
      </w:r>
      <w:r>
        <w:fldChar w:fldCharType="begin"/>
      </w:r>
      <w:r>
        <w:instrText xml:space="preserve"> PAGEREF _Toc28560 \h </w:instrText>
      </w:r>
      <w:r>
        <w:fldChar w:fldCharType="separate"/>
      </w:r>
      <w:r>
        <w:t>12</w:t>
      </w:r>
      <w:r>
        <w:fldChar w:fldCharType="end"/>
      </w:r>
      <w:r>
        <w:fldChar w:fldCharType="end"/>
      </w:r>
    </w:p>
    <w:p w14:paraId="00921990">
      <w:pPr>
        <w:pStyle w:val="19"/>
        <w:tabs>
          <w:tab w:val="right" w:leader="dot" w:pos="9354"/>
        </w:tabs>
      </w:pPr>
      <w:r>
        <w:fldChar w:fldCharType="begin"/>
      </w:r>
      <w:r>
        <w:instrText xml:space="preserve"> HYPERLINK \l _Toc3128 </w:instrText>
      </w:r>
      <w:r>
        <w:fldChar w:fldCharType="separate"/>
      </w:r>
      <w:r>
        <w:rPr>
          <w:rFonts w:hint="eastAsia"/>
          <w:spacing w:val="100"/>
        </w:rPr>
        <w:t xml:space="preserve">附录B </w:t>
      </w:r>
      <w:r>
        <w:t xml:space="preserve"> </w:t>
      </w:r>
      <w:r>
        <w:rPr>
          <w:rFonts w:hint="eastAsia"/>
        </w:rPr>
        <w:t>（资料性）</w:t>
      </w:r>
      <w:r>
        <w:t xml:space="preserve"> </w:t>
      </w:r>
      <w:r>
        <w:rPr>
          <w:rFonts w:hint="eastAsia"/>
        </w:rPr>
        <w:t>电解二氧化锰生命周期系统边界内生产工艺流程图示例</w:t>
      </w:r>
      <w:r>
        <w:tab/>
      </w:r>
      <w:r>
        <w:fldChar w:fldCharType="begin"/>
      </w:r>
      <w:r>
        <w:instrText xml:space="preserve"> PAGEREF _Toc3128 \h </w:instrText>
      </w:r>
      <w:r>
        <w:fldChar w:fldCharType="separate"/>
      </w:r>
      <w:r>
        <w:t>14</w:t>
      </w:r>
      <w:r>
        <w:fldChar w:fldCharType="end"/>
      </w:r>
      <w:r>
        <w:fldChar w:fldCharType="end"/>
      </w:r>
    </w:p>
    <w:p w14:paraId="20AAFB9F">
      <w:pPr>
        <w:pStyle w:val="19"/>
        <w:tabs>
          <w:tab w:val="right" w:leader="dot" w:pos="9354"/>
        </w:tabs>
      </w:pPr>
      <w:r>
        <w:fldChar w:fldCharType="begin"/>
      </w:r>
      <w:r>
        <w:instrText xml:space="preserve"> HYPERLINK \l _Toc26455 </w:instrText>
      </w:r>
      <w:r>
        <w:fldChar w:fldCharType="separate"/>
      </w:r>
      <w:r>
        <w:rPr>
          <w:rFonts w:hint="eastAsia"/>
          <w:spacing w:val="100"/>
        </w:rPr>
        <w:t xml:space="preserve">附录C </w:t>
      </w:r>
      <w:r>
        <w:t xml:space="preserve"> </w:t>
      </w:r>
      <w:r>
        <w:rPr>
          <w:rFonts w:hint="eastAsia"/>
        </w:rPr>
        <w:t>（资料性）</w:t>
      </w:r>
      <w:r>
        <w:t xml:space="preserve"> </w:t>
      </w:r>
      <w:r>
        <w:rPr>
          <w:rFonts w:hint="eastAsia"/>
        </w:rPr>
        <w:t>电解二氧化锰碳足迹量化数据收集表</w:t>
      </w:r>
      <w:r>
        <w:tab/>
      </w:r>
      <w:r>
        <w:fldChar w:fldCharType="begin"/>
      </w:r>
      <w:r>
        <w:instrText xml:space="preserve"> PAGEREF _Toc26455 \h </w:instrText>
      </w:r>
      <w:r>
        <w:fldChar w:fldCharType="separate"/>
      </w:r>
      <w:r>
        <w:t>16</w:t>
      </w:r>
      <w:r>
        <w:fldChar w:fldCharType="end"/>
      </w:r>
      <w:r>
        <w:fldChar w:fldCharType="end"/>
      </w:r>
    </w:p>
    <w:p w14:paraId="3E2924E6">
      <w:pPr>
        <w:pStyle w:val="19"/>
        <w:tabs>
          <w:tab w:val="right" w:leader="dot" w:pos="9354"/>
        </w:tabs>
      </w:pPr>
      <w:r>
        <w:fldChar w:fldCharType="begin"/>
      </w:r>
      <w:r>
        <w:instrText xml:space="preserve"> HYPERLINK \l _Toc30248 </w:instrText>
      </w:r>
      <w:r>
        <w:fldChar w:fldCharType="separate"/>
      </w:r>
      <w:r>
        <w:rPr>
          <w:rFonts w:hint="eastAsia"/>
          <w:spacing w:val="100"/>
        </w:rPr>
        <w:t xml:space="preserve">附录D </w:t>
      </w:r>
      <w:r>
        <w:t xml:space="preserve"> </w:t>
      </w:r>
      <w:r>
        <w:rPr>
          <w:rFonts w:hint="eastAsia"/>
        </w:rPr>
        <w:t>（资料性）</w:t>
      </w:r>
      <w:r>
        <w:t xml:space="preserve"> </w:t>
      </w:r>
      <w:r>
        <w:rPr>
          <w:rFonts w:hint="eastAsia"/>
        </w:rPr>
        <w:t>温室气体全球变暖潜势值</w:t>
      </w:r>
      <w:r>
        <w:tab/>
      </w:r>
      <w:r>
        <w:fldChar w:fldCharType="begin"/>
      </w:r>
      <w:r>
        <w:instrText xml:space="preserve"> PAGEREF _Toc30248 \h </w:instrText>
      </w:r>
      <w:r>
        <w:fldChar w:fldCharType="separate"/>
      </w:r>
      <w:r>
        <w:t>18</w:t>
      </w:r>
      <w:r>
        <w:fldChar w:fldCharType="end"/>
      </w:r>
      <w:r>
        <w:fldChar w:fldCharType="end"/>
      </w:r>
    </w:p>
    <w:p w14:paraId="247DCB8A">
      <w:pPr>
        <w:pStyle w:val="19"/>
        <w:tabs>
          <w:tab w:val="right" w:leader="dot" w:pos="9354"/>
        </w:tabs>
      </w:pPr>
      <w:r>
        <w:fldChar w:fldCharType="begin"/>
      </w:r>
      <w:r>
        <w:instrText xml:space="preserve"> HYPERLINK \l _Toc3804 </w:instrText>
      </w:r>
      <w:r>
        <w:fldChar w:fldCharType="separate"/>
      </w:r>
      <w:r>
        <w:rPr>
          <w:rFonts w:hint="eastAsia"/>
          <w:spacing w:val="100"/>
        </w:rPr>
        <w:t xml:space="preserve">附录E </w:t>
      </w:r>
      <w:r>
        <w:t xml:space="preserve"> </w:t>
      </w:r>
      <w:r>
        <w:rPr>
          <w:rFonts w:hint="eastAsia"/>
        </w:rPr>
        <w:t>（资料性）</w:t>
      </w:r>
      <w:r>
        <w:t xml:space="preserve"> </w:t>
      </w:r>
      <w:r>
        <w:rPr>
          <w:rFonts w:hint="eastAsia"/>
        </w:rPr>
        <w:t>相关参数推荐值</w:t>
      </w:r>
      <w:r>
        <w:tab/>
      </w:r>
      <w:r>
        <w:fldChar w:fldCharType="begin"/>
      </w:r>
      <w:r>
        <w:instrText xml:space="preserve"> PAGEREF _Toc3804 \h </w:instrText>
      </w:r>
      <w:r>
        <w:fldChar w:fldCharType="separate"/>
      </w:r>
      <w:r>
        <w:t>19</w:t>
      </w:r>
      <w:r>
        <w:fldChar w:fldCharType="end"/>
      </w:r>
      <w:r>
        <w:fldChar w:fldCharType="end"/>
      </w:r>
    </w:p>
    <w:p w14:paraId="7D371437">
      <w:pPr>
        <w:pStyle w:val="19"/>
        <w:tabs>
          <w:tab w:val="right" w:leader="dot" w:pos="9354"/>
        </w:tabs>
      </w:pPr>
      <w:r>
        <w:fldChar w:fldCharType="begin"/>
      </w:r>
      <w:r>
        <w:instrText xml:space="preserve"> HYPERLINK \l _Toc17465 </w:instrText>
      </w:r>
      <w:r>
        <w:fldChar w:fldCharType="separate"/>
      </w:r>
      <w:r>
        <w:rPr>
          <w:rFonts w:hint="eastAsia"/>
          <w:spacing w:val="100"/>
        </w:rPr>
        <w:t xml:space="preserve">附录F </w:t>
      </w:r>
      <w:r>
        <w:t xml:space="preserve"> </w:t>
      </w:r>
      <w:r>
        <w:rPr>
          <w:rFonts w:hint="eastAsia"/>
        </w:rPr>
        <w:t>（资料性）</w:t>
      </w:r>
      <w:r>
        <w:t xml:space="preserve"> </w:t>
      </w:r>
      <w:r>
        <w:rPr>
          <w:rFonts w:hint="eastAsia"/>
        </w:rPr>
        <w:t>电解二氧化锰碳足迹报告模版</w:t>
      </w:r>
      <w:r>
        <w:tab/>
      </w:r>
      <w:r>
        <w:fldChar w:fldCharType="begin"/>
      </w:r>
      <w:r>
        <w:instrText xml:space="preserve"> PAGEREF _Toc17465 \h </w:instrText>
      </w:r>
      <w:r>
        <w:fldChar w:fldCharType="separate"/>
      </w:r>
      <w:r>
        <w:t>21</w:t>
      </w:r>
      <w:r>
        <w:fldChar w:fldCharType="end"/>
      </w:r>
      <w:r>
        <w:fldChar w:fldCharType="end"/>
      </w:r>
    </w:p>
    <w:p w14:paraId="6BAFFBD0">
      <w:pPr>
        <w:pStyle w:val="91"/>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595C5645">
      <w:pPr>
        <w:pStyle w:val="89"/>
        <w:spacing w:before="900" w:after="360"/>
      </w:pPr>
      <w:bookmarkStart w:id="27" w:name="_Toc23163"/>
      <w:bookmarkStart w:id="28" w:name="BookMark2"/>
      <w:r>
        <w:rPr>
          <w:rFonts w:hint="eastAsia"/>
          <w:spacing w:val="320"/>
        </w:rPr>
        <w:t>前</w:t>
      </w:r>
      <w:r>
        <w:rPr>
          <w:rFonts w:hint="eastAsia"/>
        </w:rPr>
        <w:t>言</w:t>
      </w:r>
      <w:bookmarkEnd w:id="22"/>
      <w:bookmarkEnd w:id="23"/>
      <w:bookmarkEnd w:id="24"/>
      <w:bookmarkEnd w:id="25"/>
      <w:bookmarkEnd w:id="26"/>
      <w:bookmarkEnd w:id="27"/>
    </w:p>
    <w:p w14:paraId="46666AB6">
      <w:pPr>
        <w:pStyle w:val="56"/>
        <w:ind w:firstLine="420"/>
      </w:pPr>
      <w:r>
        <w:rPr>
          <w:rFonts w:hint="eastAsia"/>
        </w:rPr>
        <w:t>本文件按照GB/T 1.1—2020《标准化工作导则  第1部分：标准化文件的结构和起草规则》的规定起草。</w:t>
      </w:r>
    </w:p>
    <w:p w14:paraId="62189332">
      <w:pPr>
        <w:pStyle w:val="56"/>
        <w:ind w:firstLine="420"/>
      </w:pPr>
      <w:r>
        <w:rPr>
          <w:rFonts w:hint="eastAsia"/>
        </w:rPr>
        <w:t>请注意本文件的某些内容可能涉及专利。本文件的发布机构不承担识别专利的责任。</w:t>
      </w:r>
    </w:p>
    <w:p w14:paraId="63D3BF27">
      <w:pPr>
        <w:pStyle w:val="56"/>
        <w:ind w:firstLine="420"/>
      </w:pPr>
      <w:r>
        <w:rPr>
          <w:rFonts w:hint="eastAsia"/>
        </w:rPr>
        <w:t>本文件由广西壮族自治区工业促进和中小企业服务中心提出。</w:t>
      </w:r>
    </w:p>
    <w:p w14:paraId="4D591AC7">
      <w:pPr>
        <w:pStyle w:val="56"/>
        <w:ind w:firstLine="420"/>
      </w:pPr>
      <w:r>
        <w:rPr>
          <w:rFonts w:hint="eastAsia"/>
        </w:rPr>
        <w:t>本文件由广西标准化协会归口。</w:t>
      </w:r>
    </w:p>
    <w:p w14:paraId="5E207B4D">
      <w:pPr>
        <w:pStyle w:val="56"/>
        <w:ind w:firstLine="420"/>
      </w:pPr>
      <w:r>
        <w:rPr>
          <w:rFonts w:hint="eastAsia"/>
        </w:rPr>
        <w:t>本文件起草单位：</w:t>
      </w:r>
      <w:r>
        <w:rPr>
          <w:rFonts w:hint="eastAsia" w:cs="宋体"/>
          <w:color w:val="FF0000"/>
        </w:rPr>
        <w:t>广西壮族自治区工业促进和中小企业服务中心、广西晨晏节能信息科技有限公司、广西节能降碳协会、来宾市园区发展和中小企业服务中心、崇左市节能中心、玉林市节能中心、梧州市园区发展和中小企业服务中心、河池市节能中心、百色市工业节能中心、广西桂柳新材料股份有限公司、湘潭电化科技股份有限公司、广西靖西市一洲锰业有限公司</w:t>
      </w:r>
      <w:r>
        <w:rPr>
          <w:rFonts w:hint="eastAsia" w:cs="宋体"/>
          <w:color w:val="FF0000"/>
          <w:lang w:eastAsia="zh-CN"/>
        </w:rPr>
        <w:t>、</w:t>
      </w:r>
      <w:r>
        <w:rPr>
          <w:rFonts w:hint="eastAsia" w:cs="宋体"/>
          <w:color w:val="FF0000"/>
        </w:rPr>
        <w:t>广西致协节能技术服务有限公司、广西林业集团低碳生态技术有限公司、南宁市超达节能环保科技有限公司、广西绿丰工程咨询有限公司、广西科技大学、广西产研院绿色低碳技术研究所</w:t>
      </w:r>
      <w:r>
        <w:rPr>
          <w:rFonts w:hint="eastAsia"/>
          <w:color w:val="FF0000"/>
        </w:rPr>
        <w:t xml:space="preserve"> </w:t>
      </w:r>
    </w:p>
    <w:p w14:paraId="5EF66E77">
      <w:pPr>
        <w:pStyle w:val="56"/>
        <w:ind w:firstLine="420"/>
        <w:rPr>
          <w:rFonts w:hint="default" w:eastAsia="宋体"/>
          <w:color w:val="FF0000"/>
          <w:lang w:val="en-US" w:eastAsia="zh-CN"/>
        </w:rPr>
      </w:pPr>
      <w:r>
        <w:rPr>
          <w:rFonts w:hint="eastAsia"/>
        </w:rPr>
        <w:t>本文件主要起草人：</w:t>
      </w:r>
      <w:r>
        <w:rPr>
          <w:rFonts w:hint="eastAsia"/>
          <w:color w:val="FF0000"/>
        </w:rPr>
        <w:t>曾飞、田  甜、王占花、夏倩梅、吕宗玲、姜  江、陆锡恩、杨成军、蒋  鑫、黄东亮、欧阳朋、韦良义、刘敬东、隆  俊、蒋舒、雷金月、黎一毅、董  俊、胡卫东、戚汝国、刘  晓、程思超、谢永艳、张晓栋、赖文强、谭建荣、章  帆、郭  靖、王  伟、蒲  冰、胡江波、张  慧、赵  媛、刘演景、黄翠莲、叶  蕾、</w:t>
      </w:r>
      <w:r>
        <w:rPr>
          <w:rFonts w:hint="eastAsia"/>
          <w:color w:val="FF0000"/>
          <w:lang w:val="en-US" w:eastAsia="zh-CN"/>
        </w:rPr>
        <w:t>马博凯、易  定、</w:t>
      </w:r>
      <w:r>
        <w:rPr>
          <w:rFonts w:hint="eastAsia"/>
          <w:color w:val="FF0000"/>
        </w:rPr>
        <w:t>陈  宇、覃  合、黄玲玲、陈嘉波、屈家秋</w:t>
      </w:r>
    </w:p>
    <w:p w14:paraId="055DDDDE">
      <w:pPr>
        <w:pStyle w:val="56"/>
        <w:ind w:firstLine="420"/>
      </w:pPr>
    </w:p>
    <w:p w14:paraId="57EE5467">
      <w:pPr>
        <w:pStyle w:val="56"/>
        <w:ind w:firstLine="420"/>
      </w:pPr>
    </w:p>
    <w:p w14:paraId="6D28CA7B">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8"/>
    <w:p w14:paraId="50ECD36F">
      <w:pPr>
        <w:spacing w:line="20" w:lineRule="exact"/>
        <w:jc w:val="center"/>
        <w:rPr>
          <w:rFonts w:hint="eastAsia" w:ascii="黑体" w:hAnsi="黑体" w:eastAsia="黑体"/>
          <w:sz w:val="32"/>
          <w:szCs w:val="32"/>
        </w:rPr>
      </w:pPr>
      <w:bookmarkStart w:id="29" w:name="BookMark4"/>
    </w:p>
    <w:p w14:paraId="287821D1">
      <w:pPr>
        <w:spacing w:line="20" w:lineRule="exact"/>
        <w:jc w:val="center"/>
        <w:rPr>
          <w:rFonts w:hint="eastAsia" w:ascii="黑体" w:hAnsi="黑体" w:eastAsia="黑体"/>
          <w:sz w:val="32"/>
          <w:szCs w:val="32"/>
        </w:rPr>
      </w:pPr>
    </w:p>
    <w:sdt>
      <w:sdtPr>
        <w:tag w:val="NEW_STAND_NAME"/>
        <w:id w:val="595910757"/>
        <w:lock w:val="sdtLocked"/>
        <w:placeholder>
          <w:docPart w:val="26484B9DC9BC4928BE972C31D121B5B4"/>
        </w:placeholder>
      </w:sdtPr>
      <w:sdtContent>
        <w:p w14:paraId="23B61642">
          <w:pPr>
            <w:pStyle w:val="177"/>
            <w:spacing w:before="2" w:beforeLines="1" w:after="528" w:afterLines="220"/>
            <w:rPr>
              <w:rFonts w:hint="eastAsia"/>
            </w:rPr>
          </w:pPr>
          <w:bookmarkStart w:id="30" w:name="NEW_STAND_NAME"/>
          <w:r>
            <w:rPr>
              <w:rFonts w:hint="eastAsia"/>
            </w:rPr>
            <w:t>温室气体 产品碳足迹量化方法与要求 电解二氧化锰</w:t>
          </w:r>
        </w:p>
      </w:sdtContent>
    </w:sdt>
    <w:bookmarkEnd w:id="30"/>
    <w:p w14:paraId="1B80B8D2">
      <w:pPr>
        <w:pStyle w:val="104"/>
        <w:spacing w:before="240" w:after="240"/>
      </w:pPr>
      <w:bookmarkStart w:id="31" w:name="_Toc26986530"/>
      <w:bookmarkStart w:id="32" w:name="_Toc219754410"/>
      <w:bookmarkStart w:id="33" w:name="_Toc24884218"/>
      <w:bookmarkStart w:id="34" w:name="_Toc17233325"/>
      <w:bookmarkStart w:id="35" w:name="_Toc97192964"/>
      <w:bookmarkStart w:id="36" w:name="_Toc218632274"/>
      <w:bookmarkStart w:id="37" w:name="_Toc219754362"/>
      <w:bookmarkStart w:id="38" w:name="_Toc218628346"/>
      <w:bookmarkStart w:id="39" w:name="_Toc218628358"/>
      <w:bookmarkStart w:id="40" w:name="_Toc26986771"/>
      <w:bookmarkStart w:id="41" w:name="_Toc26718930"/>
      <w:bookmarkStart w:id="42" w:name="_Toc26648465"/>
      <w:bookmarkStart w:id="43" w:name="_Toc24884211"/>
      <w:bookmarkStart w:id="44" w:name="_Toc27537"/>
      <w:bookmarkStart w:id="45" w:name="_Toc217894027"/>
      <w:bookmarkStart w:id="46" w:name="_Toc17233333"/>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43F17C6">
      <w:pPr>
        <w:pStyle w:val="56"/>
        <w:ind w:firstLine="420"/>
      </w:pPr>
      <w:bookmarkStart w:id="47" w:name="_Toc17233326"/>
      <w:bookmarkStart w:id="48" w:name="_Toc24884219"/>
      <w:bookmarkStart w:id="49" w:name="_Toc17233334"/>
      <w:bookmarkStart w:id="50" w:name="_Toc26648466"/>
      <w:bookmarkStart w:id="51" w:name="_Toc24884212"/>
      <w:r>
        <w:rPr>
          <w:rFonts w:hint="eastAsia"/>
        </w:rPr>
        <w:t>本文件规定了电解二氧化锰产品碳足迹量化目的、量化范围、生命周期清单分析、影响评价、结果解释、报告内容和格式、鉴定性评审、产品碳足迹声明等内容,描述了电解二氧化锰碳足迹总量及生命周期各阶段碳足迹量化方法。</w:t>
      </w:r>
    </w:p>
    <w:p w14:paraId="737FC558">
      <w:pPr>
        <w:pStyle w:val="56"/>
        <w:ind w:firstLine="420"/>
      </w:pPr>
      <w:r>
        <w:t>本文件适用于</w:t>
      </w:r>
      <w:r>
        <w:rPr>
          <w:rFonts w:hint="eastAsia"/>
        </w:rPr>
        <w:t>电解二氧化锰</w:t>
      </w:r>
      <w:r>
        <w:t>产品碳足迹和部分碳足迹的温室气体排放量化</w:t>
      </w:r>
      <w:r>
        <w:rPr>
          <w:rFonts w:hint="eastAsia"/>
        </w:rPr>
        <w:t>。</w:t>
      </w:r>
    </w:p>
    <w:p w14:paraId="07C2A693">
      <w:pPr>
        <w:pStyle w:val="104"/>
        <w:spacing w:before="240" w:after="240"/>
      </w:pPr>
      <w:bookmarkStart w:id="52" w:name="_Toc217894028"/>
      <w:bookmarkStart w:id="53" w:name="_Toc10674"/>
      <w:bookmarkStart w:id="54" w:name="_Toc219754363"/>
      <w:bookmarkStart w:id="55" w:name="_Toc26986772"/>
      <w:bookmarkStart w:id="56" w:name="_Toc26718931"/>
      <w:bookmarkStart w:id="57" w:name="_Toc97192965"/>
      <w:bookmarkStart w:id="58" w:name="_Toc26986531"/>
      <w:bookmarkStart w:id="59" w:name="_Toc218628359"/>
      <w:bookmarkStart w:id="60" w:name="_Toc218632275"/>
      <w:bookmarkStart w:id="61" w:name="_Toc219754411"/>
      <w:bookmarkStart w:id="62" w:name="_Toc218628347"/>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DAA919261927447C96693722E7BA313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17D149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68ADD3C">
      <w:pPr>
        <w:pStyle w:val="56"/>
        <w:ind w:firstLine="420"/>
      </w:pPr>
      <w:r>
        <w:rPr>
          <w:rFonts w:hint="eastAsia"/>
        </w:rPr>
        <w:t>GB/T 24025—2009 环境标志和声明 Ⅲ型环境声明 原则和程序（ISO 14025:2006，IDT）</w:t>
      </w:r>
    </w:p>
    <w:p w14:paraId="5856297A">
      <w:pPr>
        <w:pStyle w:val="56"/>
        <w:ind w:firstLine="420"/>
      </w:pPr>
      <w:r>
        <w:rPr>
          <w:rFonts w:hint="eastAsia"/>
        </w:rPr>
        <w:t>GB/T 24040—2008 环境管理 生命周期评价 原则与框架（ISO 14040:2006，IDT）</w:t>
      </w:r>
    </w:p>
    <w:p w14:paraId="7C820F9F">
      <w:pPr>
        <w:pStyle w:val="56"/>
        <w:ind w:firstLine="420"/>
      </w:pPr>
      <w:r>
        <w:rPr>
          <w:rFonts w:hint="eastAsia"/>
        </w:rPr>
        <w:t>GB/T 24044—2008 环境管理 生命周期评价 要求与指南（ISO 14044:2006，IDT）</w:t>
      </w:r>
    </w:p>
    <w:p w14:paraId="249E52F4">
      <w:pPr>
        <w:pStyle w:val="56"/>
        <w:ind w:firstLine="420"/>
      </w:pPr>
      <w:r>
        <w:rPr>
          <w:rFonts w:hint="eastAsia"/>
        </w:rPr>
        <w:t>GB/T 24067—2024 温室气体 产品碳足迹 量化要求和指南（ISO 14067:2018，MOD）</w:t>
      </w:r>
    </w:p>
    <w:p w14:paraId="68E12EC8">
      <w:pPr>
        <w:pStyle w:val="56"/>
        <w:ind w:firstLine="420"/>
      </w:pPr>
      <w:r>
        <w:rPr>
          <w:rFonts w:hint="eastAsia"/>
        </w:rPr>
        <w:t>GB/T 32150 工业企业温室气体排放核算和报告通则</w:t>
      </w:r>
    </w:p>
    <w:p w14:paraId="21CCAE30">
      <w:pPr>
        <w:pStyle w:val="56"/>
        <w:ind w:firstLine="420"/>
      </w:pPr>
      <w:r>
        <w:rPr>
          <w:rFonts w:hint="eastAsia"/>
        </w:rPr>
        <w:t>ISO 14026 环境标志和声明 足迹信息交流的原则、要求和指南（</w:t>
      </w:r>
      <w:r>
        <w:t>(Environmental</w:t>
      </w:r>
      <w:r>
        <w:rPr>
          <w:rFonts w:hint="eastAsia"/>
        </w:rPr>
        <w:t xml:space="preserve"> </w:t>
      </w:r>
      <w:r>
        <w:t>labels</w:t>
      </w:r>
      <w:r>
        <w:rPr>
          <w:rFonts w:hint="eastAsia"/>
        </w:rPr>
        <w:t xml:space="preserve"> </w:t>
      </w:r>
      <w:r>
        <w:t>and</w:t>
      </w:r>
      <w:r>
        <w:rPr>
          <w:rFonts w:hint="eastAsia"/>
        </w:rPr>
        <w:t xml:space="preserve"> </w:t>
      </w:r>
      <w:r>
        <w:t>declarations—Principles</w:t>
      </w:r>
      <w:r>
        <w:rPr>
          <w:rFonts w:hint="eastAsia"/>
        </w:rPr>
        <w:t>，</w:t>
      </w:r>
      <w:r>
        <w:t>requirements</w:t>
      </w:r>
      <w:r>
        <w:rPr>
          <w:rFonts w:hint="eastAsia"/>
        </w:rPr>
        <w:t xml:space="preserve"> </w:t>
      </w:r>
      <w:r>
        <w:t>and</w:t>
      </w:r>
      <w:r>
        <w:rPr>
          <w:rFonts w:hint="eastAsia"/>
        </w:rPr>
        <w:t xml:space="preserve"> </w:t>
      </w:r>
      <w:r>
        <w:t>guidelines</w:t>
      </w:r>
      <w:r>
        <w:rPr>
          <w:rFonts w:hint="eastAsia"/>
        </w:rPr>
        <w:t xml:space="preserve"> </w:t>
      </w:r>
      <w:r>
        <w:t>for</w:t>
      </w:r>
      <w:r>
        <w:rPr>
          <w:rFonts w:hint="eastAsia"/>
        </w:rPr>
        <w:t xml:space="preserve"> </w:t>
      </w:r>
      <w:r>
        <w:t>communication</w:t>
      </w:r>
      <w:r>
        <w:rPr>
          <w:rFonts w:hint="eastAsia"/>
        </w:rPr>
        <w:t xml:space="preserve"> </w:t>
      </w:r>
      <w:r>
        <w:t>of</w:t>
      </w:r>
      <w:r>
        <w:rPr>
          <w:rFonts w:hint="eastAsia"/>
        </w:rPr>
        <w:t xml:space="preserve"> </w:t>
      </w:r>
      <w:r>
        <w:t>footprint</w:t>
      </w:r>
      <w:r>
        <w:rPr>
          <w:rFonts w:hint="eastAsia"/>
        </w:rPr>
        <w:t xml:space="preserve"> </w:t>
      </w:r>
      <w:r>
        <w:t>information</w:t>
      </w:r>
      <w:r>
        <w:rPr>
          <w:rFonts w:hint="eastAsia"/>
        </w:rPr>
        <w:t>）</w:t>
      </w:r>
    </w:p>
    <w:p w14:paraId="0D500A63">
      <w:pPr>
        <w:pStyle w:val="56"/>
        <w:ind w:firstLine="420"/>
      </w:pPr>
      <w:r>
        <w:rPr>
          <w:rFonts w:hint="eastAsia"/>
        </w:rPr>
        <w:t>ISO/TS 14071 环境管理 生命周期评价 鉴定性评审过程和评审员能力：ISO 14044：2006的附加要求和指南（</w:t>
      </w:r>
      <w:r>
        <w:t>Environmental</w:t>
      </w:r>
      <w:r>
        <w:rPr>
          <w:rFonts w:hint="eastAsia"/>
        </w:rPr>
        <w:t xml:space="preserve"> </w:t>
      </w:r>
      <w:r>
        <w:t>management—Life</w:t>
      </w:r>
      <w:r>
        <w:rPr>
          <w:rFonts w:hint="eastAsia"/>
        </w:rPr>
        <w:t xml:space="preserve"> </w:t>
      </w:r>
      <w:r>
        <w:t>cycle</w:t>
      </w:r>
      <w:r>
        <w:rPr>
          <w:rFonts w:hint="eastAsia"/>
        </w:rPr>
        <w:t xml:space="preserve"> </w:t>
      </w:r>
      <w:r>
        <w:t>assessment—Critical review processes and re</w:t>
      </w:r>
      <w:r>
        <w:rPr>
          <w:rFonts w:hint="eastAsia"/>
        </w:rPr>
        <w:t>viewer competencies：Additional requirements and guidelines to ISO 14044：2006）</w:t>
      </w:r>
    </w:p>
    <w:p w14:paraId="444320C2">
      <w:pPr>
        <w:pStyle w:val="104"/>
        <w:spacing w:before="240" w:after="240"/>
      </w:pPr>
      <w:bookmarkStart w:id="63" w:name="_Toc3025"/>
      <w:bookmarkStart w:id="64" w:name="_Toc217894029"/>
      <w:bookmarkStart w:id="65" w:name="_Toc218628348"/>
      <w:bookmarkStart w:id="66" w:name="_Toc219754412"/>
      <w:bookmarkStart w:id="67" w:name="_Toc218632276"/>
      <w:bookmarkStart w:id="68" w:name="_Toc97192966"/>
      <w:bookmarkStart w:id="69" w:name="_Toc219754364"/>
      <w:bookmarkStart w:id="70" w:name="_Toc218628360"/>
      <w:r>
        <w:rPr>
          <w:rFonts w:hint="eastAsia"/>
          <w:szCs w:val="21"/>
        </w:rPr>
        <w:t>术语和定义</w:t>
      </w:r>
      <w:bookmarkEnd w:id="63"/>
      <w:bookmarkEnd w:id="64"/>
      <w:bookmarkEnd w:id="65"/>
      <w:bookmarkEnd w:id="66"/>
      <w:bookmarkEnd w:id="67"/>
      <w:bookmarkEnd w:id="68"/>
      <w:bookmarkEnd w:id="69"/>
      <w:bookmarkEnd w:id="70"/>
    </w:p>
    <w:sdt>
      <w:sdtPr>
        <w:rPr>
          <w:rFonts w:hint="eastAsia"/>
        </w:rPr>
        <w:id w:val="-1909835108"/>
        <w:placeholder>
          <w:docPart w:val="1596188E8990487792A2575CB245464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5E4C8A97">
          <w:pPr>
            <w:pStyle w:val="56"/>
            <w:ind w:firstLine="420"/>
          </w:pPr>
          <w:bookmarkStart w:id="71" w:name="_Toc26986532"/>
          <w:bookmarkEnd w:id="71"/>
          <w:r>
            <w:rPr>
              <w:rFonts w:hint="eastAsia"/>
            </w:rPr>
            <w:t>GB/T 24025-2009、GB/T 24040-2008、GB/T 24044-2008、GB/T 24067-2024、</w:t>
          </w:r>
          <w:r>
            <w:t>GB/T 32150</w:t>
          </w:r>
          <w:r>
            <w:rPr>
              <w:rFonts w:hint="eastAsia"/>
            </w:rPr>
            <w:t>界定的以及下列术语和定义适用于本文件。</w:t>
          </w:r>
        </w:p>
      </w:sdtContent>
    </w:sdt>
    <w:p w14:paraId="396DB413">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电解二氧化锰  electrolytic manganese dioxide</w:t>
      </w:r>
    </w:p>
    <w:p w14:paraId="40A201FD">
      <w:pPr>
        <w:pStyle w:val="56"/>
        <w:ind w:firstLine="420"/>
      </w:pPr>
      <w:r>
        <w:rPr>
          <w:rFonts w:hint="eastAsia"/>
        </w:rPr>
        <w:t>通过电解硫酸锰溶液制得的二氧化锰产品。</w:t>
      </w:r>
    </w:p>
    <w:p w14:paraId="22330C85">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产品碳足迹  carbon footprint of a product；CFP</w:t>
      </w:r>
    </w:p>
    <w:p w14:paraId="1B741A58">
      <w:pPr>
        <w:pStyle w:val="56"/>
        <w:ind w:firstLine="420"/>
      </w:pPr>
      <w:r>
        <w:rPr>
          <w:rFonts w:hint="eastAsia"/>
        </w:rPr>
        <w:t>产品系统中的温室气体排放量和温室气体清除量之和，以二氧化碳当量表示，并基于气候变化这一单一影响类型进行生命周期评价。</w:t>
      </w:r>
    </w:p>
    <w:p w14:paraId="50235525">
      <w:pPr>
        <w:pStyle w:val="56"/>
        <w:ind w:firstLine="420"/>
      </w:pPr>
      <w:r>
        <w:rPr>
          <w:rFonts w:hint="eastAsia"/>
        </w:rPr>
        <w:t>[来源：GB/T 24067—2024，3.1.1，有修改]</w:t>
      </w:r>
    </w:p>
    <w:p w14:paraId="7686489A">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产品部分碳足迹  partial carbon footprint of a product; partial CFP</w:t>
      </w:r>
    </w:p>
    <w:p w14:paraId="189C25D2">
      <w:pPr>
        <w:pStyle w:val="56"/>
        <w:ind w:firstLine="420"/>
      </w:pPr>
      <w:r>
        <w:rPr>
          <w:rFonts w:hint="eastAsia"/>
        </w:rPr>
        <w:t>在产品系统生命周期内的一个或多个选定阶段或过程中的温室气体排放量和温室气体清除量之和，并以二氧化碳当量表示。</w:t>
      </w:r>
    </w:p>
    <w:p w14:paraId="3963B617">
      <w:pPr>
        <w:pStyle w:val="56"/>
        <w:ind w:firstLine="420"/>
      </w:pPr>
      <w:r>
        <w:rPr>
          <w:rFonts w:hint="eastAsia"/>
        </w:rPr>
        <w:t>[来源：GB/T 24067—2024，3.1.2，有修改]</w:t>
      </w:r>
    </w:p>
    <w:p w14:paraId="414D712A">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温室气体  greenhouse gas；GHG</w:t>
      </w:r>
    </w:p>
    <w:p w14:paraId="52FB25CF">
      <w:pPr>
        <w:pStyle w:val="56"/>
        <w:ind w:firstLine="420"/>
      </w:pPr>
      <w:r>
        <w:rPr>
          <w:rFonts w:hint="eastAsia"/>
        </w:rPr>
        <w:t>大气层中自然存在的和由于人类活动产生的能够吸收和散发地球表面、大气层和云层所产生的、波长在红外光谱内辐射的气态成分。</w:t>
      </w:r>
    </w:p>
    <w:p w14:paraId="07E64FF8">
      <w:pPr>
        <w:pStyle w:val="179"/>
      </w:pPr>
      <w:r>
        <w:rPr>
          <w:rFonts w:hint="eastAsia"/>
        </w:rPr>
        <w:t>本文件涉及的温室气体包括二氧化碳（CO</w:t>
      </w:r>
      <w:r>
        <w:rPr>
          <w:rFonts w:hint="eastAsia"/>
          <w:vertAlign w:val="subscript"/>
        </w:rPr>
        <w:t>2</w:t>
      </w:r>
      <w:r>
        <w:rPr>
          <w:rFonts w:hint="eastAsia"/>
        </w:rPr>
        <w:t>）</w:t>
      </w:r>
    </w:p>
    <w:p w14:paraId="29968170">
      <w:pPr>
        <w:pStyle w:val="56"/>
        <w:ind w:firstLine="420"/>
      </w:pPr>
      <w:r>
        <w:rPr>
          <w:rFonts w:hint="eastAsia"/>
        </w:rPr>
        <w:t>[来源： GB/T 32150—2015，3.1，有修改]</w:t>
      </w:r>
    </w:p>
    <w:p w14:paraId="38ED1CA9">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温室气体排放量  greenhouse gas emission；GHG emission</w:t>
      </w:r>
    </w:p>
    <w:p w14:paraId="0ACC1CF4">
      <w:pPr>
        <w:pStyle w:val="56"/>
        <w:ind w:firstLine="420"/>
      </w:pPr>
      <w:r>
        <w:rPr>
          <w:rFonts w:hint="eastAsia"/>
        </w:rPr>
        <w:t>在特定时段内释放到大气中的温室气体总量（以质量单位计算）。</w:t>
      </w:r>
    </w:p>
    <w:p w14:paraId="4AB0324A">
      <w:pPr>
        <w:pStyle w:val="56"/>
        <w:ind w:firstLine="420"/>
      </w:pPr>
      <w:r>
        <w:rPr>
          <w:rFonts w:hint="eastAsia"/>
        </w:rPr>
        <w:t>[来源：GB/T 32150—2015，3.6]</w:t>
      </w:r>
    </w:p>
    <w:p w14:paraId="1497D3DB">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温室气体清除量  greenhouse gas removal；GHG removal</w:t>
      </w:r>
    </w:p>
    <w:p w14:paraId="19C5201A">
      <w:pPr>
        <w:pStyle w:val="56"/>
        <w:ind w:firstLine="420"/>
      </w:pPr>
      <w:r>
        <w:rPr>
          <w:rFonts w:hint="eastAsia"/>
        </w:rPr>
        <w:t>在特定时段内从大气中清除的温室气体总量（以质量单位计算）。</w:t>
      </w:r>
    </w:p>
    <w:p w14:paraId="273AC877">
      <w:pPr>
        <w:pStyle w:val="56"/>
        <w:ind w:firstLine="420"/>
      </w:pPr>
      <w:r>
        <w:rPr>
          <w:rFonts w:hint="eastAsia"/>
        </w:rPr>
        <w:t>[来源：GB/T 24067—2024，3.2.6]</w:t>
      </w:r>
    </w:p>
    <w:p w14:paraId="0DF05CD7">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声明单位  declared unit</w:t>
      </w:r>
    </w:p>
    <w:p w14:paraId="59264B97">
      <w:pPr>
        <w:pStyle w:val="56"/>
        <w:ind w:firstLine="420"/>
      </w:pPr>
      <w:r>
        <w:rPr>
          <w:rFonts w:hint="eastAsia"/>
        </w:rPr>
        <w:t>用来量化产品部分碳足迹的基准单位。</w:t>
      </w:r>
    </w:p>
    <w:p w14:paraId="2D2ED57F">
      <w:pPr>
        <w:pStyle w:val="181"/>
      </w:pPr>
      <w:r>
        <w:rPr>
          <w:rFonts w:hint="eastAsia"/>
        </w:rPr>
        <w:t>质量（1kg电解二氧化锰）。</w:t>
      </w:r>
    </w:p>
    <w:p w14:paraId="78C1235A">
      <w:pPr>
        <w:pStyle w:val="56"/>
        <w:ind w:firstLine="420"/>
      </w:pPr>
      <w:r>
        <w:rPr>
          <w:rFonts w:hint="eastAsia"/>
        </w:rPr>
        <w:t>[来源：GB/T 24067—2024，3.3.8，有修改]</w:t>
      </w:r>
    </w:p>
    <w:p w14:paraId="24763912">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单元过程  unit process</w:t>
      </w:r>
    </w:p>
    <w:p w14:paraId="6678274D">
      <w:pPr>
        <w:pStyle w:val="56"/>
        <w:ind w:firstLine="420"/>
      </w:pPr>
      <w:r>
        <w:rPr>
          <w:rFonts w:hint="eastAsia"/>
        </w:rPr>
        <w:t>进行生命周期清单分析时为量化输入和输出数据而确定的最基本部分。</w:t>
      </w:r>
    </w:p>
    <w:p w14:paraId="2A88A4EB">
      <w:pPr>
        <w:pStyle w:val="56"/>
        <w:ind w:firstLine="420"/>
      </w:pPr>
      <w:r>
        <w:rPr>
          <w:rFonts w:hint="eastAsia"/>
        </w:rPr>
        <w:t>[来源：GB/T 24067—2024，</w:t>
      </w:r>
      <w:r>
        <w:t>3.</w:t>
      </w:r>
      <w:r>
        <w:rPr>
          <w:rFonts w:hint="eastAsia"/>
        </w:rPr>
        <w:t>3</w:t>
      </w:r>
      <w:r>
        <w:t>.</w:t>
      </w:r>
      <w:r>
        <w:rPr>
          <w:rFonts w:hint="eastAsia"/>
        </w:rPr>
        <w:t>6]</w:t>
      </w:r>
    </w:p>
    <w:p w14:paraId="572B8D15">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初级数据  primary data</w:t>
      </w:r>
    </w:p>
    <w:p w14:paraId="3CD043EF">
      <w:pPr>
        <w:pStyle w:val="56"/>
        <w:ind w:firstLine="420"/>
      </w:pPr>
      <w:r>
        <w:rPr>
          <w:rFonts w:hint="eastAsia"/>
        </w:rPr>
        <w:t>通过直接测量或基于直接测量的计算得到的过程或活动的量化值。</w:t>
      </w:r>
    </w:p>
    <w:p w14:paraId="1CCAF17B">
      <w:pPr>
        <w:pStyle w:val="180"/>
      </w:pPr>
      <w:r>
        <w:rPr>
          <w:rFonts w:hint="eastAsia"/>
        </w:rPr>
        <w:t>初级数据并非必须来自所研究的产品系统，因为初级数据可能涉及其他与所研究的产品系统具有可比性的产品系统。</w:t>
      </w:r>
    </w:p>
    <w:p w14:paraId="309EC45E">
      <w:pPr>
        <w:pStyle w:val="180"/>
      </w:pPr>
      <w:r>
        <w:rPr>
          <w:rFonts w:hint="eastAsia"/>
        </w:rPr>
        <w:t>初级数据可以包括温室气体排放因子或温室气体活动数据。</w:t>
      </w:r>
    </w:p>
    <w:p w14:paraId="55E004F7">
      <w:pPr>
        <w:pStyle w:val="56"/>
        <w:ind w:firstLine="420"/>
      </w:pPr>
      <w:r>
        <w:rPr>
          <w:rFonts w:hint="eastAsia"/>
        </w:rPr>
        <w:t>[来源：GB/T 24067—2024，</w:t>
      </w:r>
      <w:r>
        <w:t>3.6.1</w:t>
      </w:r>
      <w:r>
        <w:rPr>
          <w:rFonts w:hint="eastAsia"/>
        </w:rPr>
        <w:t>]</w:t>
      </w:r>
    </w:p>
    <w:p w14:paraId="0E2B6820">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现场数据  site-specific data</w:t>
      </w:r>
    </w:p>
    <w:p w14:paraId="324658C9">
      <w:pPr>
        <w:pStyle w:val="56"/>
        <w:ind w:firstLine="420"/>
      </w:pPr>
      <w:r>
        <w:rPr>
          <w:rFonts w:hint="eastAsia"/>
        </w:rPr>
        <w:t>从产品系统内部获得的初级数据。</w:t>
      </w:r>
    </w:p>
    <w:p w14:paraId="4FC8E398">
      <w:pPr>
        <w:pStyle w:val="180"/>
        <w:numPr>
          <w:ilvl w:val="0"/>
          <w:numId w:val="32"/>
        </w:numPr>
      </w:pPr>
      <w:r>
        <w:rPr>
          <w:rFonts w:hint="eastAsia"/>
        </w:rPr>
        <w:t>所有现场数据均为初级数据，但并不是所有初级数据都是现场数据，因为数据可能是从不同产品系统内部获得的。</w:t>
      </w:r>
    </w:p>
    <w:p w14:paraId="68D0307B">
      <w:pPr>
        <w:pStyle w:val="180"/>
        <w:numPr>
          <w:ilvl w:val="0"/>
          <w:numId w:val="32"/>
        </w:numPr>
      </w:pPr>
      <w:r>
        <w:rPr>
          <w:rFonts w:hint="eastAsia"/>
        </w:rPr>
        <w:t>现场数据包括场地内一个特定单元过程的温室气体排放量和温室气体清除量。</w:t>
      </w:r>
    </w:p>
    <w:p w14:paraId="15E0DEF7">
      <w:pPr>
        <w:pStyle w:val="56"/>
        <w:ind w:firstLine="420"/>
      </w:pPr>
      <w:r>
        <w:rPr>
          <w:rFonts w:hint="eastAsia"/>
        </w:rPr>
        <w:t>[来源：GB/T 24067—2024，</w:t>
      </w:r>
      <w:r>
        <w:t>3.6.</w:t>
      </w:r>
      <w:r>
        <w:rPr>
          <w:rFonts w:hint="eastAsia"/>
        </w:rPr>
        <w:t>2]</w:t>
      </w:r>
    </w:p>
    <w:p w14:paraId="6ED65C01">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次级数据  secondary data</w:t>
      </w:r>
    </w:p>
    <w:p w14:paraId="30948DFF">
      <w:pPr>
        <w:pStyle w:val="56"/>
        <w:ind w:firstLine="420"/>
      </w:pPr>
      <w:r>
        <w:rPr>
          <w:rFonts w:hint="eastAsia"/>
        </w:rPr>
        <w:t>不符合初级数据要求的数据。</w:t>
      </w:r>
    </w:p>
    <w:p w14:paraId="4E183E63">
      <w:pPr>
        <w:pStyle w:val="179"/>
      </w:pPr>
      <w:r>
        <w:rPr>
          <w:rFonts w:hint="eastAsia"/>
        </w:rPr>
        <w:t>次级数据是经权威机构验证且具有可信度的数据，可来源于数据库、公开文献、国家排放因子、计算估算数据或其他具有代表性的数据，推荐使用本土化数据库。</w:t>
      </w:r>
    </w:p>
    <w:p w14:paraId="131E3223">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取舍准则  cut-off criteria</w:t>
      </w:r>
    </w:p>
    <w:p w14:paraId="087617D9">
      <w:pPr>
        <w:pStyle w:val="56"/>
        <w:ind w:firstLine="420"/>
      </w:pPr>
      <w:r>
        <w:rPr>
          <w:rFonts w:hint="eastAsia"/>
        </w:rPr>
        <w:t>对与单元过程或产品系统相关的物质和能量流的数量或环境影响重要性程度是否被排除在研究范围之外所做出的规定。</w:t>
      </w:r>
    </w:p>
    <w:p w14:paraId="357D9CF9">
      <w:pPr>
        <w:pStyle w:val="56"/>
        <w:ind w:firstLine="420"/>
      </w:pPr>
      <w:bookmarkStart w:id="72" w:name="_Hlk218600989"/>
      <w:r>
        <w:rPr>
          <w:rFonts w:hint="eastAsia"/>
        </w:rPr>
        <w:t>[来源：GB/T 24044—2008，3.18]</w:t>
      </w:r>
    </w:p>
    <w:p w14:paraId="3ABA50D8">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鉴定性评审  critical review</w:t>
      </w:r>
    </w:p>
    <w:p w14:paraId="212CC02A">
      <w:pPr>
        <w:pStyle w:val="56"/>
        <w:ind w:firstLine="420"/>
      </w:pPr>
      <w:r>
        <w:rPr>
          <w:rFonts w:hint="eastAsia"/>
        </w:rPr>
        <w:t>确保产品碳足迹研究与本文件原则和要求之间一致性的活动。</w:t>
      </w:r>
    </w:p>
    <w:p w14:paraId="2D4DD566">
      <w:pPr>
        <w:pStyle w:val="179"/>
      </w:pPr>
      <w:r>
        <w:rPr>
          <w:rFonts w:hint="eastAsia"/>
        </w:rPr>
        <w:t>ISO/TS 14071 规定了鉴定性评审相关要求。</w:t>
      </w:r>
    </w:p>
    <w:p w14:paraId="2E83431F">
      <w:pPr>
        <w:pStyle w:val="56"/>
        <w:ind w:firstLine="420"/>
      </w:pPr>
      <w:r>
        <w:rPr>
          <w:rFonts w:hint="eastAsia"/>
        </w:rPr>
        <w:t>[来源：GB/T 24044—2008，3.45，有修改]</w:t>
      </w:r>
    </w:p>
    <w:p w14:paraId="701A5AAC">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生物炭  biogenic carbon</w:t>
      </w:r>
    </w:p>
    <w:p w14:paraId="16165752">
      <w:pPr>
        <w:pStyle w:val="56"/>
        <w:ind w:firstLine="420"/>
      </w:pPr>
      <w:r>
        <w:rPr>
          <w:rFonts w:hint="eastAsia"/>
        </w:rPr>
        <w:t>源自生物质的碳。</w:t>
      </w:r>
    </w:p>
    <w:p w14:paraId="2F4A1ED8">
      <w:pPr>
        <w:pStyle w:val="56"/>
        <w:ind w:firstLine="420"/>
      </w:pPr>
      <w:r>
        <w:rPr>
          <w:rFonts w:hint="eastAsia"/>
        </w:rPr>
        <w:t>[来源：GB/T 24067—2024，</w:t>
      </w:r>
      <w:r>
        <w:t>3.</w:t>
      </w:r>
      <w:r>
        <w:rPr>
          <w:rFonts w:hint="eastAsia"/>
        </w:rPr>
        <w:t>7</w:t>
      </w:r>
      <w:r>
        <w:t>.</w:t>
      </w:r>
      <w:r>
        <w:rPr>
          <w:rFonts w:hint="eastAsia"/>
        </w:rPr>
        <w:t>2]</w:t>
      </w:r>
    </w:p>
    <w:bookmarkEnd w:id="72"/>
    <w:p w14:paraId="2EFBDEB0">
      <w:pPr>
        <w:pStyle w:val="104"/>
        <w:spacing w:before="240" w:after="240"/>
      </w:pPr>
      <w:bookmarkStart w:id="73" w:name="_Toc218628361"/>
      <w:bookmarkStart w:id="74" w:name="_Toc218632277"/>
      <w:bookmarkStart w:id="75" w:name="_Toc218628349"/>
      <w:bookmarkStart w:id="76" w:name="_Toc219754365"/>
      <w:bookmarkStart w:id="77" w:name="_Toc32221"/>
      <w:bookmarkStart w:id="78" w:name="_Toc219754413"/>
      <w:r>
        <w:rPr>
          <w:rFonts w:hint="eastAsia"/>
        </w:rPr>
        <w:t>量化目的</w:t>
      </w:r>
      <w:bookmarkEnd w:id="73"/>
      <w:bookmarkEnd w:id="74"/>
      <w:bookmarkEnd w:id="75"/>
      <w:bookmarkEnd w:id="76"/>
      <w:bookmarkEnd w:id="77"/>
      <w:bookmarkEnd w:id="78"/>
    </w:p>
    <w:p w14:paraId="0F9AE4CD">
      <w:pPr>
        <w:pStyle w:val="56"/>
        <w:ind w:firstLine="420"/>
      </w:pPr>
      <w:r>
        <w:rPr>
          <w:rFonts w:hint="eastAsia"/>
        </w:rPr>
        <w:t>开展电解二氧化锰产品碳足迹量化的总体目的是结合取舍准则，通过量化电解二氧化锰系统边界内所有显著的温室气体排放量和清除量，计算电解二氧化锰产品对全球变暖的潜在贡献[以二氧化碳当量（CO</w:t>
      </w:r>
      <w:r>
        <w:rPr>
          <w:rFonts w:hint="eastAsia"/>
          <w:vertAlign w:val="subscript"/>
        </w:rPr>
        <w:t>2</w:t>
      </w:r>
      <w:r>
        <w:rPr>
          <w:rFonts w:hint="eastAsia"/>
        </w:rPr>
        <w:t>e）表示]。</w:t>
      </w:r>
    </w:p>
    <w:p w14:paraId="44483E4D">
      <w:pPr>
        <w:pStyle w:val="56"/>
        <w:ind w:firstLine="420"/>
      </w:pPr>
      <w:r>
        <w:rPr>
          <w:rFonts w:hint="eastAsia"/>
        </w:rPr>
        <w:t>在确定电解二氧化锰产品碳足迹量化研究目的时，应明确说明以下问题：</w:t>
      </w:r>
    </w:p>
    <w:p w14:paraId="228AE1CC">
      <w:pPr>
        <w:pStyle w:val="132"/>
      </w:pPr>
      <w:r>
        <w:rPr>
          <w:rFonts w:hint="eastAsia"/>
        </w:rPr>
        <w:t>应用意图；</w:t>
      </w:r>
    </w:p>
    <w:p w14:paraId="45051012">
      <w:pPr>
        <w:pStyle w:val="132"/>
      </w:pPr>
      <w:r>
        <w:rPr>
          <w:rFonts w:hint="eastAsia"/>
        </w:rPr>
        <w:t>开展量化的原因；</w:t>
      </w:r>
    </w:p>
    <w:p w14:paraId="6E466EE2">
      <w:pPr>
        <w:pStyle w:val="132"/>
      </w:pPr>
      <w:r>
        <w:rPr>
          <w:rFonts w:hint="eastAsia"/>
        </w:rPr>
        <w:t>目标受众；</w:t>
      </w:r>
    </w:p>
    <w:p w14:paraId="1F18C6F8">
      <w:pPr>
        <w:pStyle w:val="132"/>
      </w:pPr>
      <w:r>
        <w:rPr>
          <w:rFonts w:hint="eastAsia"/>
        </w:rPr>
        <w:t>符合ISO 14026要求，提供电解二氧化锰产品碳足迹交流信息（如有）。</w:t>
      </w:r>
    </w:p>
    <w:p w14:paraId="1495DD1B">
      <w:pPr>
        <w:pStyle w:val="104"/>
        <w:spacing w:before="240" w:after="240"/>
      </w:pPr>
      <w:bookmarkStart w:id="79" w:name="_Toc219754414"/>
      <w:bookmarkStart w:id="80" w:name="_Toc218628350"/>
      <w:bookmarkStart w:id="81" w:name="_Toc21681"/>
      <w:bookmarkStart w:id="82" w:name="_Toc219754366"/>
      <w:bookmarkStart w:id="83" w:name="_Toc218628362"/>
      <w:bookmarkStart w:id="84" w:name="_Toc218632278"/>
      <w:r>
        <w:rPr>
          <w:rFonts w:hint="eastAsia"/>
        </w:rPr>
        <w:t>量化范围</w:t>
      </w:r>
      <w:bookmarkEnd w:id="79"/>
      <w:bookmarkEnd w:id="80"/>
      <w:bookmarkEnd w:id="81"/>
      <w:bookmarkEnd w:id="82"/>
      <w:bookmarkEnd w:id="83"/>
      <w:bookmarkEnd w:id="84"/>
    </w:p>
    <w:p w14:paraId="54501373">
      <w:pPr>
        <w:pStyle w:val="105"/>
        <w:spacing w:before="120" w:after="120"/>
      </w:pPr>
      <w:bookmarkStart w:id="85" w:name="_Toc218628351"/>
      <w:bookmarkStart w:id="86" w:name="_Toc219754367"/>
      <w:bookmarkStart w:id="87" w:name="_Toc219754415"/>
      <w:bookmarkStart w:id="88" w:name="_Toc218628363"/>
      <w:bookmarkStart w:id="89" w:name="_Toc218632279"/>
      <w:r>
        <w:rPr>
          <w:rFonts w:hint="eastAsia"/>
        </w:rPr>
        <w:t>声明单位</w:t>
      </w:r>
      <w:bookmarkEnd w:id="85"/>
      <w:bookmarkEnd w:id="86"/>
      <w:bookmarkEnd w:id="87"/>
      <w:bookmarkEnd w:id="88"/>
      <w:bookmarkEnd w:id="89"/>
    </w:p>
    <w:p w14:paraId="1F06F6ED">
      <w:pPr>
        <w:pStyle w:val="56"/>
        <w:ind w:firstLine="420"/>
      </w:pPr>
      <w:r>
        <w:rPr>
          <w:rFonts w:hint="eastAsia"/>
        </w:rPr>
        <w:t>产品碳足迹量化应明确规定声明单位。声明单位应与产品碳足迹量化目的和范围保持一致。声明单位的主要目的是为相关的输入和输出数据的归一化提供参考基准。因此应对声明单位做出明确的定义并使其可量化。</w:t>
      </w:r>
    </w:p>
    <w:p w14:paraId="693B94E6">
      <w:pPr>
        <w:pStyle w:val="56"/>
        <w:ind w:firstLine="420"/>
      </w:pPr>
      <w:r>
        <w:rPr>
          <w:rFonts w:hint="eastAsia"/>
        </w:rPr>
        <w:t>本标准以“1kg电解二氧化锰”为声明单位。</w:t>
      </w:r>
    </w:p>
    <w:p w14:paraId="2DCC1B3D">
      <w:pPr>
        <w:pStyle w:val="105"/>
        <w:spacing w:before="120" w:after="120"/>
      </w:pPr>
      <w:bookmarkStart w:id="90" w:name="_Toc219754416"/>
      <w:bookmarkStart w:id="91" w:name="_Toc218628352"/>
      <w:bookmarkStart w:id="92" w:name="_Toc219754368"/>
      <w:bookmarkStart w:id="93" w:name="_Toc218628364"/>
      <w:bookmarkStart w:id="94" w:name="_Toc218632280"/>
      <w:r>
        <w:rPr>
          <w:rFonts w:hint="eastAsia"/>
        </w:rPr>
        <w:t>系统边界</w:t>
      </w:r>
      <w:bookmarkEnd w:id="90"/>
      <w:bookmarkEnd w:id="91"/>
      <w:bookmarkEnd w:id="92"/>
      <w:bookmarkEnd w:id="93"/>
      <w:bookmarkEnd w:id="94"/>
    </w:p>
    <w:p w14:paraId="0A3DCB48">
      <w:pPr>
        <w:pStyle w:val="65"/>
        <w:spacing w:before="120" w:after="120"/>
      </w:pPr>
      <w:bookmarkStart w:id="95" w:name="_Toc218628353"/>
      <w:bookmarkStart w:id="96" w:name="_Toc219754369"/>
      <w:r>
        <w:rPr>
          <w:rFonts w:hint="eastAsia"/>
        </w:rPr>
        <w:t>系统边界设置</w:t>
      </w:r>
      <w:bookmarkEnd w:id="95"/>
      <w:bookmarkEnd w:id="96"/>
    </w:p>
    <w:p w14:paraId="7FAC2DA5">
      <w:pPr>
        <w:pStyle w:val="56"/>
        <w:ind w:firstLine="420"/>
      </w:pPr>
      <w:r>
        <w:rPr>
          <w:rFonts w:hint="eastAsia"/>
        </w:rPr>
        <w:t>电解二氧化锰产品系统边界为“从摇篮到大门”，即从原材料的采购运输到电解二氧化锰产品的产出，包括研磨、焙烧、化合、净化、电解、后处理、包装等主要生产系统，还包括原材料和能源的获取和运输等环节。电解二氧化锰产品的系统边界如图1所示。</w:t>
      </w:r>
    </w:p>
    <w:p w14:paraId="0B5FFE64">
      <w:pPr>
        <w:pStyle w:val="56"/>
        <w:ind w:firstLine="0" w:firstLineChars="0"/>
        <w:jc w:val="center"/>
      </w:pPr>
      <w:r>
        <w:drawing>
          <wp:inline distT="0" distB="0" distL="0" distR="0">
            <wp:extent cx="5351145" cy="3949700"/>
            <wp:effectExtent l="0" t="0" r="0" b="0"/>
            <wp:docPr id="1267493009" name="ECB019B1-382A-4266-B25C-5B523AA43C14-1" descr="C:/Users/12119/AppData/Local/Temp/wps.KfiPKa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493009" name="ECB019B1-382A-4266-B25C-5B523AA43C14-1" descr="C:/Users/12119/AppData/Local/Temp/wps.KfiPKawps"/>
                    <pic:cNvPicPr>
                      <a:picLocks noChangeAspect="1"/>
                    </pic:cNvPicPr>
                  </pic:nvPicPr>
                  <pic:blipFill>
                    <a:blip r:embed="rId15"/>
                    <a:srcRect b="14828"/>
                    <a:stretch>
                      <a:fillRect/>
                    </a:stretch>
                  </pic:blipFill>
                  <pic:spPr>
                    <a:xfrm>
                      <a:off x="0" y="0"/>
                      <a:ext cx="5377473" cy="3969031"/>
                    </a:xfrm>
                    <a:prstGeom prst="rect">
                      <a:avLst/>
                    </a:prstGeom>
                  </pic:spPr>
                </pic:pic>
              </a:graphicData>
            </a:graphic>
          </wp:inline>
        </w:drawing>
      </w:r>
    </w:p>
    <w:p w14:paraId="7CAF0815">
      <w:pPr>
        <w:pStyle w:val="114"/>
        <w:spacing w:before="120" w:after="120"/>
      </w:pPr>
      <w:r>
        <w:rPr>
          <w:rFonts w:hint="eastAsia"/>
        </w:rPr>
        <w:t>电解二氧化锰产品系统边界图</w:t>
      </w:r>
    </w:p>
    <w:p w14:paraId="61D611F3">
      <w:pPr>
        <w:pStyle w:val="65"/>
        <w:spacing w:before="120" w:after="120"/>
      </w:pPr>
      <w:bookmarkStart w:id="97" w:name="_Toc219754370"/>
      <w:bookmarkStart w:id="98" w:name="_Toc218628354"/>
      <w:r>
        <w:rPr>
          <w:rFonts w:hint="eastAsia"/>
        </w:rPr>
        <w:t>原材料与能源获取阶段</w:t>
      </w:r>
      <w:bookmarkEnd w:id="97"/>
      <w:bookmarkEnd w:id="98"/>
    </w:p>
    <w:p w14:paraId="6C7B8F16">
      <w:pPr>
        <w:pStyle w:val="56"/>
        <w:ind w:firstLine="420"/>
      </w:pPr>
      <w:r>
        <w:rPr>
          <w:rFonts w:hint="eastAsia"/>
        </w:rPr>
        <w:t>从自然界材料提取时开始，到原材料和能源到达生产工厂时终止。包括但不限于以下过程：</w:t>
      </w:r>
    </w:p>
    <w:p w14:paraId="5B2D29D7">
      <w:pPr>
        <w:pStyle w:val="56"/>
        <w:ind w:firstLine="420"/>
      </w:pPr>
      <w:r>
        <w:rPr>
          <w:rFonts w:hint="eastAsia"/>
        </w:rPr>
        <w:t>a)  原材料的获取与运输（例如锰矿石、硫铁矿、硫酸、碳酸钙、包装材料、溶剂等）；</w:t>
      </w:r>
    </w:p>
    <w:p w14:paraId="6EAAF7D7">
      <w:pPr>
        <w:pStyle w:val="56"/>
        <w:ind w:firstLine="420"/>
      </w:pPr>
      <w:r>
        <w:rPr>
          <w:rFonts w:hint="eastAsia"/>
        </w:rPr>
        <w:t>b)  能源的获取与运输（例如燃料、电力、热力等）。</w:t>
      </w:r>
    </w:p>
    <w:p w14:paraId="2FF2F209">
      <w:pPr>
        <w:pStyle w:val="65"/>
        <w:spacing w:before="120" w:after="120"/>
      </w:pPr>
      <w:bookmarkStart w:id="99" w:name="_Toc219754371"/>
      <w:bookmarkStart w:id="100" w:name="_Toc218628355"/>
      <w:r>
        <w:rPr>
          <w:rFonts w:hint="eastAsia"/>
        </w:rPr>
        <w:t>产品生产阶段</w:t>
      </w:r>
      <w:bookmarkEnd w:id="99"/>
      <w:bookmarkEnd w:id="100"/>
    </w:p>
    <w:p w14:paraId="163C11B9">
      <w:pPr>
        <w:pStyle w:val="56"/>
        <w:ind w:firstLine="420"/>
      </w:pPr>
      <w:r>
        <w:rPr>
          <w:rFonts w:hint="eastAsia"/>
        </w:rPr>
        <w:t>产品生产阶段从产品原材料进入工厂开始，以及过程中所涉及到的运输，到最终产品离开工厂终止。产品生产阶段包括但不限于：</w:t>
      </w:r>
    </w:p>
    <w:p w14:paraId="1980A081">
      <w:pPr>
        <w:pStyle w:val="174"/>
      </w:pPr>
      <w:r>
        <w:rPr>
          <w:rFonts w:hint="eastAsia"/>
        </w:rPr>
        <w:t>生产过程：包括研磨、焙烧、化合、净化、电解、后处理、包装等工艺环节。</w:t>
      </w:r>
    </w:p>
    <w:p w14:paraId="769A3479">
      <w:pPr>
        <w:pStyle w:val="174"/>
      </w:pPr>
      <w:r>
        <w:rPr>
          <w:rFonts w:hint="eastAsia"/>
        </w:rPr>
        <w:t>厂内运输过程：包括原料、能源和成品等在工厂内部运输相关过程。</w:t>
      </w:r>
    </w:p>
    <w:p w14:paraId="14DC0E54">
      <w:pPr>
        <w:pStyle w:val="105"/>
        <w:spacing w:before="120" w:after="120"/>
      </w:pPr>
      <w:bookmarkStart w:id="101" w:name="_Toc218632281"/>
      <w:bookmarkStart w:id="102" w:name="_Toc218628365"/>
      <w:bookmarkStart w:id="103" w:name="_Toc219754372"/>
      <w:bookmarkStart w:id="104" w:name="_Toc218628356"/>
      <w:bookmarkStart w:id="105" w:name="_Toc219754417"/>
      <w:r>
        <w:rPr>
          <w:rFonts w:hint="eastAsia"/>
        </w:rPr>
        <w:t>取舍准则</w:t>
      </w:r>
      <w:bookmarkEnd w:id="101"/>
      <w:bookmarkEnd w:id="102"/>
      <w:bookmarkEnd w:id="103"/>
      <w:bookmarkEnd w:id="104"/>
      <w:bookmarkEnd w:id="105"/>
    </w:p>
    <w:p w14:paraId="591E7678">
      <w:pPr>
        <w:pStyle w:val="56"/>
        <w:ind w:firstLine="420"/>
      </w:pPr>
      <w:r>
        <w:rPr>
          <w:rFonts w:hint="eastAsia"/>
        </w:rPr>
        <w:t>所涉及的单元过程、物质/能量数据的取舍应遵循如下准则：</w:t>
      </w:r>
    </w:p>
    <w:p w14:paraId="00B3BE27">
      <w:pPr>
        <w:pStyle w:val="56"/>
        <w:ind w:firstLine="420"/>
      </w:pPr>
      <w:r>
        <w:rPr>
          <w:rFonts w:hint="eastAsia"/>
        </w:rPr>
        <w:t>当个别物质流或能量流对某一单元过程的碳足迹无显著贡献时，可将其作为数据排除项排除并应进行报告。应在目的和范围界定阶段确定一致的取舍准则，所选取舍准则对研究结果的影响也应在产品碳足迹研究报告中进行评价和描述。</w:t>
      </w:r>
    </w:p>
    <w:p w14:paraId="0A928882">
      <w:pPr>
        <w:pStyle w:val="56"/>
        <w:ind w:firstLine="420"/>
      </w:pPr>
      <w:r>
        <w:rPr>
          <w:rFonts w:hint="eastAsia"/>
        </w:rPr>
        <w:t>在产品碳足迹量化过程中，可舍弃产品碳足迹影响小于1%的环节，但舍弃环节总的影响不应超过产品碳足迹总量的5%。</w:t>
      </w:r>
    </w:p>
    <w:p w14:paraId="328B8865">
      <w:pPr>
        <w:pStyle w:val="104"/>
        <w:spacing w:before="240" w:after="240"/>
      </w:pPr>
      <w:bookmarkStart w:id="106" w:name="_Toc9916"/>
      <w:bookmarkStart w:id="107" w:name="_Toc219754373"/>
      <w:bookmarkStart w:id="108" w:name="_Toc219754418"/>
      <w:r>
        <w:rPr>
          <w:rFonts w:hint="eastAsia"/>
        </w:rPr>
        <w:t>生命周期清单分析</w:t>
      </w:r>
      <w:bookmarkEnd w:id="106"/>
      <w:bookmarkEnd w:id="107"/>
      <w:bookmarkEnd w:id="108"/>
    </w:p>
    <w:p w14:paraId="2DFC4D44">
      <w:pPr>
        <w:pStyle w:val="105"/>
        <w:spacing w:before="120" w:after="120"/>
      </w:pPr>
      <w:bookmarkStart w:id="109" w:name="_Toc219754374"/>
      <w:bookmarkStart w:id="110" w:name="_Toc219754419"/>
      <w:r>
        <w:rPr>
          <w:rFonts w:hint="eastAsia"/>
        </w:rPr>
        <w:t>总体要求</w:t>
      </w:r>
      <w:bookmarkEnd w:id="109"/>
      <w:bookmarkEnd w:id="110"/>
    </w:p>
    <w:p w14:paraId="432CFF3C">
      <w:pPr>
        <w:pStyle w:val="56"/>
        <w:ind w:firstLine="420"/>
      </w:pPr>
      <w:r>
        <w:rPr>
          <w:rFonts w:hint="eastAsia"/>
        </w:rPr>
        <w:t>电解二氧化锰产品碳足迹研究的生命周期清单分析，包括以下步骤：</w:t>
      </w:r>
    </w:p>
    <w:p w14:paraId="3048749B">
      <w:pPr>
        <w:pStyle w:val="56"/>
        <w:ind w:firstLine="420"/>
      </w:pPr>
      <w:r>
        <w:rPr>
          <w:rFonts w:hint="eastAsia"/>
        </w:rPr>
        <w:t>a)数据收集；</w:t>
      </w:r>
    </w:p>
    <w:p w14:paraId="66AE2B55">
      <w:pPr>
        <w:pStyle w:val="56"/>
        <w:ind w:firstLine="420"/>
      </w:pPr>
      <w:r>
        <w:rPr>
          <w:rFonts w:hint="eastAsia"/>
        </w:rPr>
        <w:t>b)数据审定；</w:t>
      </w:r>
    </w:p>
    <w:p w14:paraId="42C15197">
      <w:pPr>
        <w:pStyle w:val="56"/>
        <w:ind w:firstLine="420"/>
      </w:pPr>
      <w:r>
        <w:rPr>
          <w:rFonts w:hint="eastAsia"/>
        </w:rPr>
        <w:t>c)将数据关联到单元过程和声明单位；</w:t>
      </w:r>
    </w:p>
    <w:p w14:paraId="0D63F569">
      <w:pPr>
        <w:pStyle w:val="56"/>
        <w:ind w:firstLine="420"/>
      </w:pPr>
      <w:r>
        <w:rPr>
          <w:rFonts w:hint="eastAsia"/>
        </w:rPr>
        <w:t>d)系统边界调整；</w:t>
      </w:r>
    </w:p>
    <w:p w14:paraId="4ECA71AB">
      <w:pPr>
        <w:pStyle w:val="56"/>
        <w:ind w:firstLine="420"/>
        <w:rPr>
          <w:color w:val="EE0000"/>
        </w:rPr>
      </w:pPr>
      <w:r>
        <w:rPr>
          <w:rFonts w:hint="eastAsia"/>
        </w:rPr>
        <w:t>e)分配。</w:t>
      </w:r>
    </w:p>
    <w:p w14:paraId="4777939F">
      <w:pPr>
        <w:pStyle w:val="105"/>
        <w:spacing w:before="120" w:after="120"/>
      </w:pPr>
      <w:bookmarkStart w:id="111" w:name="_Toc219754375"/>
      <w:bookmarkStart w:id="112" w:name="_Toc219754420"/>
      <w:r>
        <w:rPr>
          <w:rFonts w:hint="eastAsia"/>
        </w:rPr>
        <w:t>数据和数据质量</w:t>
      </w:r>
      <w:bookmarkEnd w:id="111"/>
      <w:bookmarkEnd w:id="112"/>
    </w:p>
    <w:p w14:paraId="5167272F">
      <w:pPr>
        <w:pStyle w:val="65"/>
        <w:spacing w:before="120" w:after="120"/>
      </w:pPr>
      <w:bookmarkStart w:id="113" w:name="_Toc219754376"/>
      <w:r>
        <w:rPr>
          <w:rFonts w:hint="eastAsia"/>
        </w:rPr>
        <w:t>数据描述</w:t>
      </w:r>
      <w:bookmarkEnd w:id="113"/>
    </w:p>
    <w:p w14:paraId="7D57098A">
      <w:pPr>
        <w:pStyle w:val="56"/>
        <w:ind w:firstLine="420"/>
      </w:pPr>
      <w:r>
        <w:rPr>
          <w:rFonts w:hint="eastAsia"/>
        </w:rPr>
        <w:t>数据的收集应符合表1的要求。</w:t>
      </w:r>
    </w:p>
    <w:p w14:paraId="0F1600AD">
      <w:pPr>
        <w:pStyle w:val="56"/>
        <w:ind w:firstLine="420"/>
      </w:pPr>
      <w:r>
        <w:rPr>
          <w:rFonts w:hint="eastAsia"/>
        </w:rPr>
        <w:t>当开展产品碳足迹研究的组织拥有财务或运营控制权时，应收集现场数据。所收集的数据应具有代表性。对产品碳足迹贡献度不低于50%的单元过程，即使不在财务或运营控制下，宜使用现场数据。现场数据可参照附录C.1收集。</w:t>
      </w:r>
    </w:p>
    <w:p w14:paraId="5A24A4F8">
      <w:pPr>
        <w:pStyle w:val="56"/>
        <w:ind w:firstLine="420"/>
      </w:pPr>
      <w:r>
        <w:rPr>
          <w:rFonts w:hint="eastAsia"/>
        </w:rPr>
        <w:t>非现场数据可使用次级数据(附录C.2),次级数据宜经第三方评审，同时数据格式应满足相关标准要求。次级数据可来源于国家数据库、公开文献或其他具有代表性的数据。</w:t>
      </w:r>
    </w:p>
    <w:p w14:paraId="4AD999CE">
      <w:pPr>
        <w:pStyle w:val="56"/>
        <w:ind w:firstLine="420"/>
      </w:pPr>
      <w:r>
        <w:rPr>
          <w:rFonts w:hint="eastAsia"/>
        </w:rPr>
        <w:t>对数据获得方式和来源应予以说明。</w:t>
      </w:r>
    </w:p>
    <w:p w14:paraId="18EE5A44">
      <w:pPr>
        <w:pStyle w:val="112"/>
        <w:spacing w:before="120" w:after="120"/>
      </w:pPr>
      <w:r>
        <w:rPr>
          <w:rFonts w:hint="eastAsia"/>
        </w:rPr>
        <w:t>各生命周期阶段数据收集要求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3686"/>
        <w:gridCol w:w="2551"/>
        <w:gridCol w:w="1831"/>
      </w:tblGrid>
      <w:tr w14:paraId="2EB6D2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vAlign w:val="center"/>
          </w:tcPr>
          <w:p w14:paraId="0B09A1CC">
            <w:pPr>
              <w:pStyle w:val="178"/>
            </w:pPr>
            <w:r>
              <w:rPr>
                <w:rFonts w:hint="eastAsia" w:hAnsi="宋体"/>
              </w:rPr>
              <w:t>生命周期阶段</w:t>
            </w:r>
          </w:p>
        </w:tc>
        <w:tc>
          <w:tcPr>
            <w:tcW w:w="3686" w:type="dxa"/>
            <w:tcBorders>
              <w:top w:val="single" w:color="auto" w:sz="8" w:space="0"/>
              <w:bottom w:val="single" w:color="auto" w:sz="8" w:space="0"/>
            </w:tcBorders>
            <w:vAlign w:val="center"/>
          </w:tcPr>
          <w:p w14:paraId="0B90C057">
            <w:pPr>
              <w:pStyle w:val="178"/>
            </w:pPr>
            <w:r>
              <w:rPr>
                <w:rFonts w:hint="eastAsia" w:hAnsi="宋体"/>
              </w:rPr>
              <w:t>生命周期阶段包含活动的描述</w:t>
            </w:r>
          </w:p>
        </w:tc>
        <w:tc>
          <w:tcPr>
            <w:tcW w:w="2551" w:type="dxa"/>
            <w:tcBorders>
              <w:top w:val="single" w:color="auto" w:sz="8" w:space="0"/>
              <w:bottom w:val="single" w:color="auto" w:sz="8" w:space="0"/>
            </w:tcBorders>
            <w:vAlign w:val="center"/>
          </w:tcPr>
          <w:p w14:paraId="4B2F8A0B">
            <w:pPr>
              <w:pStyle w:val="178"/>
            </w:pPr>
            <w:r>
              <w:rPr>
                <w:rFonts w:hint="eastAsia" w:hAnsi="宋体"/>
              </w:rPr>
              <w:t>数据种类</w:t>
            </w:r>
          </w:p>
        </w:tc>
        <w:tc>
          <w:tcPr>
            <w:tcW w:w="1831" w:type="dxa"/>
            <w:tcBorders>
              <w:top w:val="single" w:color="auto" w:sz="8" w:space="0"/>
              <w:bottom w:val="single" w:color="auto" w:sz="8" w:space="0"/>
            </w:tcBorders>
            <w:vAlign w:val="center"/>
          </w:tcPr>
          <w:p w14:paraId="79CFA9ED">
            <w:pPr>
              <w:pStyle w:val="178"/>
            </w:pPr>
            <w:r>
              <w:rPr>
                <w:rFonts w:hint="eastAsia" w:hAnsi="宋体"/>
              </w:rPr>
              <w:t>数据要求</w:t>
            </w:r>
          </w:p>
        </w:tc>
      </w:tr>
      <w:tr w14:paraId="5AC875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tcBorders>
              <w:top w:val="single" w:color="auto" w:sz="8" w:space="0"/>
            </w:tcBorders>
            <w:vAlign w:val="center"/>
          </w:tcPr>
          <w:p w14:paraId="36B4483D">
            <w:pPr>
              <w:pStyle w:val="178"/>
            </w:pPr>
            <w:r>
              <w:t>原辅材料、能源获取过程</w:t>
            </w:r>
          </w:p>
        </w:tc>
        <w:tc>
          <w:tcPr>
            <w:tcW w:w="3686" w:type="dxa"/>
            <w:tcBorders>
              <w:top w:val="single" w:color="auto" w:sz="8" w:space="0"/>
            </w:tcBorders>
            <w:vAlign w:val="center"/>
          </w:tcPr>
          <w:p w14:paraId="3D442A6C">
            <w:pPr>
              <w:pStyle w:val="178"/>
              <w:jc w:val="both"/>
            </w:pPr>
            <w:r>
              <w:rPr>
                <w:rFonts w:hint="eastAsia" w:hAnsi="宋体"/>
              </w:rPr>
              <w:t>主要原料开采及生产过程：如锰矿石、硫铁矿等矿石开采过程的能源、资源投入等相关过程。</w:t>
            </w:r>
          </w:p>
        </w:tc>
        <w:tc>
          <w:tcPr>
            <w:tcW w:w="2551" w:type="dxa"/>
            <w:tcBorders>
              <w:top w:val="single" w:color="auto" w:sz="8" w:space="0"/>
            </w:tcBorders>
            <w:vAlign w:val="center"/>
          </w:tcPr>
          <w:p w14:paraId="7B1C380A">
            <w:pPr>
              <w:pStyle w:val="178"/>
              <w:jc w:val="both"/>
            </w:pPr>
            <w:r>
              <w:rPr>
                <w:rFonts w:hint="eastAsia" w:hAnsi="宋体"/>
              </w:rPr>
              <w:t>锰矿石、硫铁矿的温室气体排放因子。</w:t>
            </w:r>
          </w:p>
        </w:tc>
        <w:tc>
          <w:tcPr>
            <w:tcW w:w="1831" w:type="dxa"/>
            <w:tcBorders>
              <w:top w:val="single" w:color="auto" w:sz="8" w:space="0"/>
            </w:tcBorders>
            <w:vAlign w:val="center"/>
          </w:tcPr>
          <w:p w14:paraId="049ECA6D">
            <w:pPr>
              <w:pStyle w:val="178"/>
            </w:pPr>
            <w:r>
              <w:rPr>
                <w:rFonts w:hint="eastAsia" w:hAnsi="宋体"/>
              </w:rPr>
              <w:t>可使用次级数据</w:t>
            </w:r>
          </w:p>
        </w:tc>
      </w:tr>
      <w:tr w14:paraId="495FA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5752F778">
            <w:pPr>
              <w:pStyle w:val="178"/>
            </w:pPr>
          </w:p>
        </w:tc>
        <w:tc>
          <w:tcPr>
            <w:tcW w:w="3686" w:type="dxa"/>
            <w:vAlign w:val="center"/>
          </w:tcPr>
          <w:p w14:paraId="24EC8E7D">
            <w:pPr>
              <w:pStyle w:val="178"/>
              <w:jc w:val="both"/>
            </w:pPr>
            <w:r>
              <w:rPr>
                <w:rFonts w:hint="eastAsia" w:hAnsi="宋体"/>
              </w:rPr>
              <w:t>主要燃料或含碳原料开采及生产过程：如煤等生产过程的能源、资源投入等相关过程。</w:t>
            </w:r>
          </w:p>
        </w:tc>
        <w:tc>
          <w:tcPr>
            <w:tcW w:w="2551" w:type="dxa"/>
            <w:vAlign w:val="center"/>
          </w:tcPr>
          <w:p w14:paraId="2223075C">
            <w:pPr>
              <w:pStyle w:val="178"/>
              <w:jc w:val="both"/>
            </w:pPr>
            <w:r>
              <w:rPr>
                <w:rFonts w:hint="eastAsia" w:hAnsi="宋体"/>
              </w:rPr>
              <w:t>燃料或含碳物质的温室气体排放因子。</w:t>
            </w:r>
          </w:p>
        </w:tc>
        <w:tc>
          <w:tcPr>
            <w:tcW w:w="1831" w:type="dxa"/>
            <w:vAlign w:val="center"/>
          </w:tcPr>
          <w:p w14:paraId="34DE25DF">
            <w:pPr>
              <w:pStyle w:val="178"/>
            </w:pPr>
            <w:r>
              <w:rPr>
                <w:rFonts w:hint="eastAsia" w:hAnsi="宋体"/>
              </w:rPr>
              <w:t>可使用次级数据</w:t>
            </w:r>
          </w:p>
        </w:tc>
      </w:tr>
      <w:tr w14:paraId="6ED6EB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749D02B9">
            <w:pPr>
              <w:pStyle w:val="178"/>
            </w:pPr>
          </w:p>
        </w:tc>
        <w:tc>
          <w:tcPr>
            <w:tcW w:w="3686" w:type="dxa"/>
            <w:vAlign w:val="center"/>
          </w:tcPr>
          <w:p w14:paraId="467E6433">
            <w:pPr>
              <w:pStyle w:val="178"/>
              <w:jc w:val="both"/>
            </w:pPr>
            <w:r>
              <w:rPr>
                <w:rFonts w:hint="eastAsia" w:hAnsi="宋体"/>
              </w:rPr>
              <w:t>主要辅料开采及生产过程：如硫酸、中和剂、净化剂等材料生产过程的能源、资源投入等相关过程。</w:t>
            </w:r>
          </w:p>
        </w:tc>
        <w:tc>
          <w:tcPr>
            <w:tcW w:w="2551" w:type="dxa"/>
            <w:vAlign w:val="center"/>
          </w:tcPr>
          <w:p w14:paraId="79D6CF11">
            <w:pPr>
              <w:pStyle w:val="178"/>
              <w:jc w:val="both"/>
            </w:pPr>
            <w:r>
              <w:rPr>
                <w:rFonts w:hint="eastAsia" w:hAnsi="宋体"/>
              </w:rPr>
              <w:t>硫酸、中和剂、净化剂等材料的温室气体排放因子。</w:t>
            </w:r>
          </w:p>
        </w:tc>
        <w:tc>
          <w:tcPr>
            <w:tcW w:w="1831" w:type="dxa"/>
            <w:vAlign w:val="center"/>
          </w:tcPr>
          <w:p w14:paraId="40D2B783">
            <w:pPr>
              <w:pStyle w:val="178"/>
            </w:pPr>
            <w:r>
              <w:rPr>
                <w:rFonts w:hint="eastAsia" w:hAnsi="宋体"/>
              </w:rPr>
              <w:t>可使用次级数据</w:t>
            </w:r>
          </w:p>
        </w:tc>
      </w:tr>
      <w:tr w14:paraId="112DDE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461ABE41">
            <w:pPr>
              <w:pStyle w:val="178"/>
            </w:pPr>
          </w:p>
        </w:tc>
        <w:tc>
          <w:tcPr>
            <w:tcW w:w="3686" w:type="dxa"/>
            <w:vMerge w:val="restart"/>
            <w:vAlign w:val="center"/>
          </w:tcPr>
          <w:p w14:paraId="0B01AF24">
            <w:pPr>
              <w:pStyle w:val="178"/>
              <w:jc w:val="both"/>
            </w:pPr>
            <w:r>
              <w:rPr>
                <w:rFonts w:hint="eastAsia"/>
              </w:rPr>
              <w:t>电力生产过程。</w:t>
            </w:r>
          </w:p>
        </w:tc>
        <w:tc>
          <w:tcPr>
            <w:tcW w:w="2551" w:type="dxa"/>
            <w:vAlign w:val="center"/>
          </w:tcPr>
          <w:p w14:paraId="5AA89E4A">
            <w:pPr>
              <w:pStyle w:val="178"/>
              <w:jc w:val="both"/>
            </w:pPr>
            <w:r>
              <w:rPr>
                <w:rFonts w:hint="eastAsia" w:hAnsi="宋体"/>
              </w:rPr>
              <w:t>电力温室气体排放因子。</w:t>
            </w:r>
          </w:p>
        </w:tc>
        <w:tc>
          <w:tcPr>
            <w:tcW w:w="1831" w:type="dxa"/>
            <w:vAlign w:val="center"/>
          </w:tcPr>
          <w:p w14:paraId="11CD6F27">
            <w:pPr>
              <w:pStyle w:val="178"/>
            </w:pPr>
            <w:r>
              <w:rPr>
                <w:rFonts w:hint="eastAsia" w:hAnsi="宋体"/>
              </w:rPr>
              <w:t>可使用次级数据</w:t>
            </w:r>
          </w:p>
        </w:tc>
      </w:tr>
      <w:tr w14:paraId="75E362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27C6117C">
            <w:pPr>
              <w:pStyle w:val="178"/>
            </w:pPr>
          </w:p>
        </w:tc>
        <w:tc>
          <w:tcPr>
            <w:tcW w:w="3686" w:type="dxa"/>
            <w:vMerge w:val="continue"/>
            <w:vAlign w:val="center"/>
          </w:tcPr>
          <w:p w14:paraId="74999750">
            <w:pPr>
              <w:pStyle w:val="178"/>
              <w:jc w:val="both"/>
            </w:pPr>
          </w:p>
        </w:tc>
        <w:tc>
          <w:tcPr>
            <w:tcW w:w="2551" w:type="dxa"/>
            <w:vAlign w:val="center"/>
          </w:tcPr>
          <w:p w14:paraId="434ECD07">
            <w:pPr>
              <w:pStyle w:val="178"/>
              <w:jc w:val="both"/>
            </w:pPr>
            <w:r>
              <w:rPr>
                <w:rFonts w:hint="eastAsia" w:hAnsi="宋体"/>
              </w:rPr>
              <w:t>输入组织边界内的电力消耗量。</w:t>
            </w:r>
          </w:p>
        </w:tc>
        <w:tc>
          <w:tcPr>
            <w:tcW w:w="1831" w:type="dxa"/>
            <w:vAlign w:val="center"/>
          </w:tcPr>
          <w:p w14:paraId="411C4DD9">
            <w:pPr>
              <w:pStyle w:val="178"/>
            </w:pPr>
            <w:r>
              <w:rPr>
                <w:rFonts w:hint="eastAsia" w:hAnsi="宋体"/>
              </w:rPr>
              <w:t>应使用现场数据</w:t>
            </w:r>
          </w:p>
        </w:tc>
      </w:tr>
      <w:tr w14:paraId="3D5C64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2F480068">
            <w:pPr>
              <w:pStyle w:val="178"/>
            </w:pPr>
          </w:p>
        </w:tc>
        <w:tc>
          <w:tcPr>
            <w:tcW w:w="3686" w:type="dxa"/>
            <w:vMerge w:val="restart"/>
            <w:vAlign w:val="center"/>
          </w:tcPr>
          <w:p w14:paraId="78445924">
            <w:pPr>
              <w:pStyle w:val="178"/>
              <w:jc w:val="both"/>
            </w:pPr>
            <w:r>
              <w:rPr>
                <w:rFonts w:hint="eastAsia"/>
              </w:rPr>
              <w:t>热力生产过程。</w:t>
            </w:r>
          </w:p>
        </w:tc>
        <w:tc>
          <w:tcPr>
            <w:tcW w:w="2551" w:type="dxa"/>
            <w:vAlign w:val="center"/>
          </w:tcPr>
          <w:p w14:paraId="711C9F3B">
            <w:pPr>
              <w:pStyle w:val="178"/>
              <w:jc w:val="both"/>
            </w:pPr>
            <w:r>
              <w:rPr>
                <w:rFonts w:hint="eastAsia" w:hAnsi="宋体"/>
              </w:rPr>
              <w:t>热力温室气体排放因子。</w:t>
            </w:r>
          </w:p>
        </w:tc>
        <w:tc>
          <w:tcPr>
            <w:tcW w:w="1831" w:type="dxa"/>
            <w:vAlign w:val="center"/>
          </w:tcPr>
          <w:p w14:paraId="72157CA9">
            <w:pPr>
              <w:pStyle w:val="178"/>
            </w:pPr>
            <w:r>
              <w:rPr>
                <w:rFonts w:hint="eastAsia" w:hAnsi="宋体"/>
              </w:rPr>
              <w:t>可使用次级数据</w:t>
            </w:r>
          </w:p>
        </w:tc>
      </w:tr>
      <w:tr w14:paraId="16DD6E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1C8FB98A">
            <w:pPr>
              <w:pStyle w:val="178"/>
            </w:pPr>
          </w:p>
        </w:tc>
        <w:tc>
          <w:tcPr>
            <w:tcW w:w="3686" w:type="dxa"/>
            <w:vMerge w:val="continue"/>
            <w:vAlign w:val="center"/>
          </w:tcPr>
          <w:p w14:paraId="50CD9170">
            <w:pPr>
              <w:pStyle w:val="178"/>
              <w:jc w:val="both"/>
            </w:pPr>
          </w:p>
        </w:tc>
        <w:tc>
          <w:tcPr>
            <w:tcW w:w="2551" w:type="dxa"/>
            <w:vAlign w:val="center"/>
          </w:tcPr>
          <w:p w14:paraId="79515944">
            <w:pPr>
              <w:pStyle w:val="178"/>
              <w:jc w:val="both"/>
            </w:pPr>
            <w:r>
              <w:rPr>
                <w:rFonts w:hint="eastAsia" w:hAnsi="宋体"/>
              </w:rPr>
              <w:t>输入组织边界内的热力消耗量。</w:t>
            </w:r>
          </w:p>
        </w:tc>
        <w:tc>
          <w:tcPr>
            <w:tcW w:w="1831" w:type="dxa"/>
            <w:vAlign w:val="center"/>
          </w:tcPr>
          <w:p w14:paraId="40DA6EE7">
            <w:pPr>
              <w:pStyle w:val="178"/>
            </w:pPr>
            <w:r>
              <w:rPr>
                <w:rFonts w:hint="eastAsia" w:hAnsi="宋体"/>
              </w:rPr>
              <w:t>应使用现场数据</w:t>
            </w:r>
          </w:p>
        </w:tc>
      </w:tr>
      <w:tr w14:paraId="659C2C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47EAFB99">
            <w:pPr>
              <w:pStyle w:val="178"/>
            </w:pPr>
          </w:p>
        </w:tc>
        <w:tc>
          <w:tcPr>
            <w:tcW w:w="3686" w:type="dxa"/>
            <w:vMerge w:val="restart"/>
            <w:vAlign w:val="center"/>
          </w:tcPr>
          <w:p w14:paraId="1CC2EAE2">
            <w:pPr>
              <w:pStyle w:val="178"/>
              <w:jc w:val="both"/>
            </w:pPr>
            <w:r>
              <w:t>原料、辅料、能源等从产地到</w:t>
            </w:r>
            <w:r>
              <w:rPr>
                <w:rFonts w:hint="eastAsia"/>
              </w:rPr>
              <w:t>电解二氧化锰</w:t>
            </w:r>
            <w:r>
              <w:t>产品生产企业的运输和输送</w:t>
            </w:r>
            <w:r>
              <w:rPr>
                <w:rFonts w:hint="eastAsia"/>
              </w:rPr>
              <w:t>。</w:t>
            </w:r>
          </w:p>
        </w:tc>
        <w:tc>
          <w:tcPr>
            <w:tcW w:w="2551" w:type="dxa"/>
            <w:vAlign w:val="center"/>
          </w:tcPr>
          <w:p w14:paraId="7CB9B2D2">
            <w:pPr>
              <w:pStyle w:val="178"/>
              <w:jc w:val="both"/>
            </w:pPr>
            <w:r>
              <w:rPr>
                <w:rFonts w:hint="eastAsia" w:hAnsi="宋体"/>
              </w:rPr>
              <w:t>原料、辅料、能源的购入量、运输方式。</w:t>
            </w:r>
          </w:p>
        </w:tc>
        <w:tc>
          <w:tcPr>
            <w:tcW w:w="1831" w:type="dxa"/>
            <w:vAlign w:val="center"/>
          </w:tcPr>
          <w:p w14:paraId="7B0E1081">
            <w:pPr>
              <w:pStyle w:val="178"/>
            </w:pPr>
            <w:r>
              <w:rPr>
                <w:rFonts w:hint="eastAsia" w:hAnsi="宋体"/>
              </w:rPr>
              <w:t>应使用现场数据</w:t>
            </w:r>
          </w:p>
        </w:tc>
      </w:tr>
      <w:tr w14:paraId="6B469B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336641FE">
            <w:pPr>
              <w:pStyle w:val="178"/>
            </w:pPr>
          </w:p>
        </w:tc>
        <w:tc>
          <w:tcPr>
            <w:tcW w:w="3686" w:type="dxa"/>
            <w:vMerge w:val="continue"/>
            <w:vAlign w:val="center"/>
          </w:tcPr>
          <w:p w14:paraId="74FE7128">
            <w:pPr>
              <w:pStyle w:val="178"/>
              <w:jc w:val="both"/>
            </w:pPr>
          </w:p>
        </w:tc>
        <w:tc>
          <w:tcPr>
            <w:tcW w:w="2551" w:type="dxa"/>
            <w:vAlign w:val="center"/>
          </w:tcPr>
          <w:p w14:paraId="6047FB19">
            <w:pPr>
              <w:pStyle w:val="178"/>
              <w:jc w:val="both"/>
            </w:pPr>
            <w:r>
              <w:rPr>
                <w:rFonts w:hint="eastAsia" w:hAnsi="宋体"/>
              </w:rPr>
              <w:t>不同运输方式的温室气体排放因子。</w:t>
            </w:r>
          </w:p>
        </w:tc>
        <w:tc>
          <w:tcPr>
            <w:tcW w:w="1831" w:type="dxa"/>
            <w:vAlign w:val="center"/>
          </w:tcPr>
          <w:p w14:paraId="4478D9C1">
            <w:pPr>
              <w:pStyle w:val="178"/>
            </w:pPr>
            <w:r>
              <w:rPr>
                <w:rFonts w:hint="eastAsia" w:hAnsi="宋体"/>
              </w:rPr>
              <w:t>可使用次级数据</w:t>
            </w:r>
          </w:p>
        </w:tc>
      </w:tr>
      <w:tr w14:paraId="5C4702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0ECD3327">
            <w:pPr>
              <w:pStyle w:val="178"/>
            </w:pPr>
          </w:p>
        </w:tc>
        <w:tc>
          <w:tcPr>
            <w:tcW w:w="3686" w:type="dxa"/>
            <w:vMerge w:val="continue"/>
            <w:vAlign w:val="center"/>
          </w:tcPr>
          <w:p w14:paraId="7130138A">
            <w:pPr>
              <w:pStyle w:val="178"/>
              <w:jc w:val="both"/>
            </w:pPr>
          </w:p>
        </w:tc>
        <w:tc>
          <w:tcPr>
            <w:tcW w:w="2551" w:type="dxa"/>
            <w:vAlign w:val="center"/>
          </w:tcPr>
          <w:p w14:paraId="5C6A940F">
            <w:pPr>
              <w:pStyle w:val="178"/>
              <w:jc w:val="both"/>
            </w:pPr>
            <w:r>
              <w:rPr>
                <w:rFonts w:hint="eastAsia" w:hAnsi="宋体"/>
              </w:rPr>
              <w:t>运输距离。</w:t>
            </w:r>
          </w:p>
        </w:tc>
        <w:tc>
          <w:tcPr>
            <w:tcW w:w="1831" w:type="dxa"/>
            <w:vAlign w:val="center"/>
          </w:tcPr>
          <w:p w14:paraId="7FBEF842">
            <w:pPr>
              <w:pStyle w:val="178"/>
            </w:pPr>
            <w:r>
              <w:rPr>
                <w:rFonts w:hint="eastAsia" w:hAnsi="宋体"/>
              </w:rPr>
              <w:t>应使用现场数据</w:t>
            </w:r>
          </w:p>
        </w:tc>
      </w:tr>
      <w:tr w14:paraId="4B278A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vAlign w:val="center"/>
          </w:tcPr>
          <w:p w14:paraId="2B4AD6C4">
            <w:pPr>
              <w:pStyle w:val="178"/>
              <w:rPr>
                <w:color w:val="auto"/>
              </w:rPr>
            </w:pPr>
            <w:r>
              <w:rPr>
                <w:color w:val="auto"/>
              </w:rPr>
              <w:t>产品生产阶段</w:t>
            </w:r>
          </w:p>
        </w:tc>
        <w:tc>
          <w:tcPr>
            <w:tcW w:w="3686" w:type="dxa"/>
            <w:vMerge w:val="restart"/>
            <w:vAlign w:val="center"/>
          </w:tcPr>
          <w:p w14:paraId="711DE6C8">
            <w:pPr>
              <w:pStyle w:val="178"/>
              <w:jc w:val="both"/>
              <w:rPr>
                <w:color w:val="auto"/>
              </w:rPr>
            </w:pPr>
            <w:r>
              <w:rPr>
                <w:color w:val="auto"/>
              </w:rPr>
              <w:t>原料预处理、原辅料配料和混料、</w:t>
            </w:r>
            <w:r>
              <w:rPr>
                <w:rFonts w:hint="eastAsia"/>
                <w:color w:val="auto"/>
              </w:rPr>
              <w:t>焙烧</w:t>
            </w:r>
            <w:r>
              <w:rPr>
                <w:color w:val="auto"/>
              </w:rPr>
              <w:t>(如有)、</w:t>
            </w:r>
            <w:r>
              <w:rPr>
                <w:rFonts w:hint="eastAsia"/>
                <w:color w:val="auto"/>
              </w:rPr>
              <w:t>化合</w:t>
            </w:r>
            <w:r>
              <w:rPr>
                <w:color w:val="auto"/>
              </w:rPr>
              <w:t>、</w:t>
            </w:r>
            <w:r>
              <w:rPr>
                <w:rFonts w:hint="eastAsia"/>
                <w:color w:val="auto"/>
              </w:rPr>
              <w:t>净化</w:t>
            </w:r>
            <w:r>
              <w:rPr>
                <w:color w:val="auto"/>
              </w:rPr>
              <w:t>、</w:t>
            </w:r>
            <w:r>
              <w:rPr>
                <w:rFonts w:hint="eastAsia"/>
                <w:color w:val="auto"/>
              </w:rPr>
              <w:t>电解和后处理</w:t>
            </w:r>
            <w:r>
              <w:rPr>
                <w:color w:val="auto"/>
              </w:rPr>
              <w:t>等主要生产系统</w:t>
            </w:r>
            <w:r>
              <w:rPr>
                <w:rFonts w:hint="eastAsia"/>
                <w:color w:val="auto"/>
              </w:rPr>
              <w:t>。</w:t>
            </w:r>
          </w:p>
        </w:tc>
        <w:tc>
          <w:tcPr>
            <w:tcW w:w="2551" w:type="dxa"/>
            <w:vAlign w:val="center"/>
          </w:tcPr>
          <w:p w14:paraId="232B6EBC">
            <w:pPr>
              <w:pStyle w:val="178"/>
              <w:jc w:val="both"/>
            </w:pPr>
            <w:r>
              <w:rPr>
                <w:rFonts w:hint="eastAsia" w:hAnsi="宋体"/>
              </w:rPr>
              <w:t>原辅材料、燃料消耗量。</w:t>
            </w:r>
          </w:p>
        </w:tc>
        <w:tc>
          <w:tcPr>
            <w:tcW w:w="1831" w:type="dxa"/>
            <w:vAlign w:val="center"/>
          </w:tcPr>
          <w:p w14:paraId="5443E150">
            <w:pPr>
              <w:pStyle w:val="178"/>
            </w:pPr>
            <w:r>
              <w:rPr>
                <w:rFonts w:hint="eastAsia" w:hAnsi="宋体"/>
              </w:rPr>
              <w:t>应使用现场数据</w:t>
            </w:r>
          </w:p>
        </w:tc>
      </w:tr>
      <w:tr w14:paraId="668040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4700467F">
            <w:pPr>
              <w:pStyle w:val="178"/>
              <w:rPr>
                <w:color w:val="auto"/>
              </w:rPr>
            </w:pPr>
          </w:p>
        </w:tc>
        <w:tc>
          <w:tcPr>
            <w:tcW w:w="3686" w:type="dxa"/>
            <w:vMerge w:val="continue"/>
            <w:vAlign w:val="center"/>
          </w:tcPr>
          <w:p w14:paraId="709D57B1">
            <w:pPr>
              <w:pStyle w:val="178"/>
              <w:jc w:val="both"/>
              <w:rPr>
                <w:color w:val="auto"/>
              </w:rPr>
            </w:pPr>
          </w:p>
        </w:tc>
        <w:tc>
          <w:tcPr>
            <w:tcW w:w="2551" w:type="dxa"/>
            <w:vAlign w:val="center"/>
          </w:tcPr>
          <w:p w14:paraId="5F3A0E2C">
            <w:pPr>
              <w:pStyle w:val="178"/>
              <w:jc w:val="both"/>
            </w:pPr>
            <w:r>
              <w:rPr>
                <w:rFonts w:hint="eastAsia" w:hAnsi="宋体"/>
              </w:rPr>
              <w:t>含碳酸盐原辅材料中碳酸盐含量。</w:t>
            </w:r>
          </w:p>
        </w:tc>
        <w:tc>
          <w:tcPr>
            <w:tcW w:w="1831" w:type="dxa"/>
            <w:vAlign w:val="center"/>
          </w:tcPr>
          <w:p w14:paraId="513E84FA">
            <w:pPr>
              <w:pStyle w:val="178"/>
            </w:pPr>
            <w:r>
              <w:rPr>
                <w:rFonts w:hint="eastAsia" w:hAnsi="宋体"/>
              </w:rPr>
              <w:t>应使用现场数据</w:t>
            </w:r>
          </w:p>
        </w:tc>
      </w:tr>
      <w:tr w14:paraId="58D435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612D40B2">
            <w:pPr>
              <w:pStyle w:val="178"/>
              <w:rPr>
                <w:color w:val="auto"/>
              </w:rPr>
            </w:pPr>
          </w:p>
        </w:tc>
        <w:tc>
          <w:tcPr>
            <w:tcW w:w="3686" w:type="dxa"/>
            <w:vMerge w:val="continue"/>
            <w:vAlign w:val="center"/>
          </w:tcPr>
          <w:p w14:paraId="2017D305">
            <w:pPr>
              <w:pStyle w:val="178"/>
              <w:jc w:val="both"/>
              <w:rPr>
                <w:color w:val="auto"/>
              </w:rPr>
            </w:pPr>
          </w:p>
        </w:tc>
        <w:tc>
          <w:tcPr>
            <w:tcW w:w="2551" w:type="dxa"/>
            <w:vAlign w:val="center"/>
          </w:tcPr>
          <w:p w14:paraId="4D071EF0">
            <w:pPr>
              <w:pStyle w:val="178"/>
              <w:jc w:val="both"/>
            </w:pPr>
            <w:r>
              <w:rPr>
                <w:rFonts w:hint="eastAsia" w:hAnsi="宋体"/>
              </w:rPr>
              <w:t>焙烧工序煤等含碳还原剂消耗量。</w:t>
            </w:r>
          </w:p>
        </w:tc>
        <w:tc>
          <w:tcPr>
            <w:tcW w:w="1831" w:type="dxa"/>
            <w:vAlign w:val="center"/>
          </w:tcPr>
          <w:p w14:paraId="253AB8E7">
            <w:pPr>
              <w:pStyle w:val="178"/>
            </w:pPr>
            <w:r>
              <w:rPr>
                <w:rFonts w:hint="eastAsia" w:hAnsi="宋体"/>
              </w:rPr>
              <w:t>应使用现场数据</w:t>
            </w:r>
          </w:p>
        </w:tc>
      </w:tr>
      <w:tr w14:paraId="32EE5B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6027C3A3">
            <w:pPr>
              <w:pStyle w:val="178"/>
              <w:rPr>
                <w:color w:val="auto"/>
              </w:rPr>
            </w:pPr>
          </w:p>
        </w:tc>
        <w:tc>
          <w:tcPr>
            <w:tcW w:w="3686" w:type="dxa"/>
            <w:vMerge w:val="continue"/>
            <w:vAlign w:val="center"/>
          </w:tcPr>
          <w:p w14:paraId="70891BCE">
            <w:pPr>
              <w:pStyle w:val="178"/>
              <w:jc w:val="both"/>
              <w:rPr>
                <w:color w:val="auto"/>
              </w:rPr>
            </w:pPr>
          </w:p>
        </w:tc>
        <w:tc>
          <w:tcPr>
            <w:tcW w:w="2551" w:type="dxa"/>
            <w:vAlign w:val="center"/>
          </w:tcPr>
          <w:p w14:paraId="56FC94A3">
            <w:pPr>
              <w:pStyle w:val="178"/>
              <w:jc w:val="both"/>
            </w:pPr>
            <w:r>
              <w:rPr>
                <w:rFonts w:hint="eastAsia" w:hAnsi="宋体"/>
              </w:rPr>
              <w:t>含碳还原剂的碳含量及氧化率。</w:t>
            </w:r>
          </w:p>
        </w:tc>
        <w:tc>
          <w:tcPr>
            <w:tcW w:w="1831" w:type="dxa"/>
            <w:vAlign w:val="center"/>
          </w:tcPr>
          <w:p w14:paraId="32DF1326">
            <w:pPr>
              <w:pStyle w:val="178"/>
            </w:pPr>
            <w:r>
              <w:rPr>
                <w:rFonts w:hint="eastAsia" w:hAnsi="宋体"/>
              </w:rPr>
              <w:t>宜使用现场数据，可使用次级数据。</w:t>
            </w:r>
          </w:p>
        </w:tc>
      </w:tr>
      <w:tr w14:paraId="2F9D8D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7D443D0E">
            <w:pPr>
              <w:pStyle w:val="178"/>
              <w:rPr>
                <w:color w:val="auto"/>
              </w:rPr>
            </w:pPr>
          </w:p>
        </w:tc>
        <w:tc>
          <w:tcPr>
            <w:tcW w:w="3686" w:type="dxa"/>
            <w:vMerge w:val="continue"/>
            <w:vAlign w:val="center"/>
          </w:tcPr>
          <w:p w14:paraId="3DE738C6">
            <w:pPr>
              <w:pStyle w:val="178"/>
              <w:jc w:val="both"/>
              <w:rPr>
                <w:color w:val="auto"/>
              </w:rPr>
            </w:pPr>
          </w:p>
        </w:tc>
        <w:tc>
          <w:tcPr>
            <w:tcW w:w="2551" w:type="dxa"/>
            <w:vAlign w:val="center"/>
          </w:tcPr>
          <w:p w14:paraId="6A79D2FA">
            <w:pPr>
              <w:pStyle w:val="178"/>
              <w:jc w:val="both"/>
            </w:pPr>
            <w:r>
              <w:rPr>
                <w:rFonts w:hint="eastAsia" w:hAnsi="宋体"/>
              </w:rPr>
              <w:t>电解二氧化锰合格成品产量。</w:t>
            </w:r>
          </w:p>
        </w:tc>
        <w:tc>
          <w:tcPr>
            <w:tcW w:w="1831" w:type="dxa"/>
            <w:vAlign w:val="center"/>
          </w:tcPr>
          <w:p w14:paraId="5E9FB2DC">
            <w:pPr>
              <w:pStyle w:val="178"/>
            </w:pPr>
            <w:r>
              <w:rPr>
                <w:rFonts w:hint="eastAsia" w:hAnsi="宋体"/>
              </w:rPr>
              <w:t>应使用现场数据</w:t>
            </w:r>
          </w:p>
        </w:tc>
      </w:tr>
      <w:tr w14:paraId="6813A4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4A425B40">
            <w:pPr>
              <w:pStyle w:val="178"/>
              <w:rPr>
                <w:color w:val="auto"/>
              </w:rPr>
            </w:pPr>
          </w:p>
        </w:tc>
        <w:tc>
          <w:tcPr>
            <w:tcW w:w="3686" w:type="dxa"/>
            <w:vMerge w:val="restart"/>
            <w:vAlign w:val="center"/>
          </w:tcPr>
          <w:p w14:paraId="6EB37A64">
            <w:pPr>
              <w:pStyle w:val="178"/>
              <w:jc w:val="both"/>
              <w:rPr>
                <w:rFonts w:hint="eastAsia" w:eastAsia="宋体"/>
                <w:color w:val="auto"/>
                <w:lang w:eastAsia="zh-CN"/>
              </w:rPr>
            </w:pPr>
            <w:r>
              <w:rPr>
                <w:rFonts w:hint="eastAsia"/>
                <w:color w:val="auto"/>
              </w:rPr>
              <w:t>电力、热力生产过程（如有）</w:t>
            </w:r>
            <w:r>
              <w:rPr>
                <w:rFonts w:hint="eastAsia"/>
                <w:color w:val="auto"/>
                <w:lang w:eastAsia="zh-CN"/>
              </w:rPr>
              <w:t>。</w:t>
            </w:r>
          </w:p>
        </w:tc>
        <w:tc>
          <w:tcPr>
            <w:tcW w:w="2551" w:type="dxa"/>
            <w:vAlign w:val="center"/>
          </w:tcPr>
          <w:p w14:paraId="766B4DDA">
            <w:pPr>
              <w:pStyle w:val="178"/>
              <w:jc w:val="both"/>
            </w:pPr>
            <w:r>
              <w:rPr>
                <w:rFonts w:hint="eastAsia" w:hAnsi="宋体"/>
              </w:rPr>
              <w:t>煤或其他化石燃料的消耗。</w:t>
            </w:r>
          </w:p>
        </w:tc>
        <w:tc>
          <w:tcPr>
            <w:tcW w:w="1831" w:type="dxa"/>
            <w:vAlign w:val="center"/>
          </w:tcPr>
          <w:p w14:paraId="0D96AA65">
            <w:pPr>
              <w:pStyle w:val="178"/>
            </w:pPr>
            <w:r>
              <w:rPr>
                <w:rFonts w:hint="eastAsia" w:hAnsi="宋体"/>
              </w:rPr>
              <w:t>应使用现场数据</w:t>
            </w:r>
          </w:p>
        </w:tc>
      </w:tr>
      <w:tr w14:paraId="54FC45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5498E615">
            <w:pPr>
              <w:pStyle w:val="178"/>
              <w:rPr>
                <w:color w:val="auto"/>
              </w:rPr>
            </w:pPr>
          </w:p>
        </w:tc>
        <w:tc>
          <w:tcPr>
            <w:tcW w:w="3686" w:type="dxa"/>
            <w:vMerge w:val="continue"/>
            <w:vAlign w:val="center"/>
          </w:tcPr>
          <w:p w14:paraId="08BF9BB5">
            <w:pPr>
              <w:pStyle w:val="178"/>
              <w:jc w:val="both"/>
              <w:rPr>
                <w:color w:val="auto"/>
              </w:rPr>
            </w:pPr>
          </w:p>
        </w:tc>
        <w:tc>
          <w:tcPr>
            <w:tcW w:w="2551" w:type="dxa"/>
            <w:vAlign w:val="center"/>
          </w:tcPr>
          <w:p w14:paraId="39C52DB2">
            <w:pPr>
              <w:pStyle w:val="178"/>
              <w:jc w:val="both"/>
            </w:pPr>
            <w:r>
              <w:rPr>
                <w:rFonts w:hint="eastAsia" w:hAnsi="宋体"/>
              </w:rPr>
              <w:t>煤或其他化石燃料的低位发热量、单位热值含碳量及氧化率。</w:t>
            </w:r>
          </w:p>
        </w:tc>
        <w:tc>
          <w:tcPr>
            <w:tcW w:w="1831" w:type="dxa"/>
            <w:vAlign w:val="center"/>
          </w:tcPr>
          <w:p w14:paraId="5C76CF51">
            <w:pPr>
              <w:pStyle w:val="178"/>
            </w:pPr>
            <w:r>
              <w:rPr>
                <w:rFonts w:hint="eastAsia" w:hAnsi="宋体"/>
              </w:rPr>
              <w:t>宜使用现场数据，可使用次级数据。</w:t>
            </w:r>
          </w:p>
        </w:tc>
      </w:tr>
      <w:tr w14:paraId="598D6A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6D01EDC6">
            <w:pPr>
              <w:pStyle w:val="178"/>
              <w:rPr>
                <w:color w:val="auto"/>
              </w:rPr>
            </w:pPr>
          </w:p>
        </w:tc>
        <w:tc>
          <w:tcPr>
            <w:tcW w:w="3686" w:type="dxa"/>
            <w:vMerge w:val="continue"/>
            <w:vAlign w:val="center"/>
          </w:tcPr>
          <w:p w14:paraId="7E0BB552">
            <w:pPr>
              <w:pStyle w:val="178"/>
              <w:jc w:val="both"/>
              <w:rPr>
                <w:color w:val="auto"/>
              </w:rPr>
            </w:pPr>
          </w:p>
        </w:tc>
        <w:tc>
          <w:tcPr>
            <w:tcW w:w="2551" w:type="dxa"/>
            <w:vAlign w:val="center"/>
          </w:tcPr>
          <w:p w14:paraId="2237F650">
            <w:pPr>
              <w:pStyle w:val="178"/>
              <w:jc w:val="both"/>
            </w:pPr>
            <w:r>
              <w:rPr>
                <w:rFonts w:hint="eastAsia" w:hAnsi="宋体"/>
              </w:rPr>
              <w:t>电力、热力产量。</w:t>
            </w:r>
          </w:p>
        </w:tc>
        <w:tc>
          <w:tcPr>
            <w:tcW w:w="1831" w:type="dxa"/>
            <w:vAlign w:val="center"/>
          </w:tcPr>
          <w:p w14:paraId="57F127B7">
            <w:pPr>
              <w:pStyle w:val="178"/>
            </w:pPr>
            <w:r>
              <w:rPr>
                <w:rFonts w:hint="eastAsia" w:hAnsi="宋体"/>
              </w:rPr>
              <w:t>应使用现场数据</w:t>
            </w:r>
          </w:p>
        </w:tc>
      </w:tr>
      <w:tr w14:paraId="2F1BC7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2135D47E">
            <w:pPr>
              <w:pStyle w:val="178"/>
              <w:rPr>
                <w:color w:val="auto"/>
              </w:rPr>
            </w:pPr>
          </w:p>
        </w:tc>
        <w:tc>
          <w:tcPr>
            <w:tcW w:w="3686" w:type="dxa"/>
            <w:vMerge w:val="restart"/>
            <w:vAlign w:val="center"/>
          </w:tcPr>
          <w:p w14:paraId="2925986D">
            <w:pPr>
              <w:pStyle w:val="178"/>
              <w:jc w:val="both"/>
              <w:rPr>
                <w:color w:val="auto"/>
              </w:rPr>
            </w:pPr>
            <w:r>
              <w:rPr>
                <w:color w:val="auto"/>
              </w:rPr>
              <w:t>各阶段所产生的废/污水、废气及固体废弃物处理相关过程</w:t>
            </w:r>
            <w:r>
              <w:rPr>
                <w:rFonts w:hint="eastAsia"/>
                <w:color w:val="auto"/>
              </w:rPr>
              <w:t>（如有）。</w:t>
            </w:r>
          </w:p>
        </w:tc>
        <w:tc>
          <w:tcPr>
            <w:tcW w:w="2551" w:type="dxa"/>
            <w:vAlign w:val="center"/>
          </w:tcPr>
          <w:p w14:paraId="22555F59">
            <w:pPr>
              <w:pStyle w:val="178"/>
              <w:jc w:val="both"/>
            </w:pPr>
            <w:r>
              <w:rPr>
                <w:rFonts w:hint="eastAsia" w:hAnsi="宋体"/>
              </w:rPr>
              <w:t>废</w:t>
            </w:r>
            <w:r>
              <w:rPr>
                <w:rFonts w:hint="eastAsia"/>
              </w:rPr>
              <w:t>/污水、废气及固体废弃物处理所用的能源消耗量</w:t>
            </w:r>
            <w:r>
              <w:rPr>
                <w:rFonts w:hint="eastAsia" w:hAnsi="宋体"/>
              </w:rPr>
              <w:t>。</w:t>
            </w:r>
          </w:p>
        </w:tc>
        <w:tc>
          <w:tcPr>
            <w:tcW w:w="1831" w:type="dxa"/>
            <w:vAlign w:val="center"/>
          </w:tcPr>
          <w:p w14:paraId="40379354">
            <w:pPr>
              <w:pStyle w:val="178"/>
            </w:pPr>
            <w:r>
              <w:rPr>
                <w:rFonts w:hint="eastAsia" w:hAnsi="宋体"/>
              </w:rPr>
              <w:t>应使用现场数据</w:t>
            </w:r>
          </w:p>
        </w:tc>
      </w:tr>
      <w:tr w14:paraId="034045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57C5EAE3">
            <w:pPr>
              <w:pStyle w:val="178"/>
            </w:pPr>
          </w:p>
        </w:tc>
        <w:tc>
          <w:tcPr>
            <w:tcW w:w="3686" w:type="dxa"/>
            <w:vMerge w:val="continue"/>
            <w:vAlign w:val="center"/>
          </w:tcPr>
          <w:p w14:paraId="5ED0F548">
            <w:pPr>
              <w:pStyle w:val="178"/>
              <w:jc w:val="both"/>
            </w:pPr>
          </w:p>
        </w:tc>
        <w:tc>
          <w:tcPr>
            <w:tcW w:w="2551" w:type="dxa"/>
            <w:vAlign w:val="center"/>
          </w:tcPr>
          <w:p w14:paraId="115EBDCD">
            <w:pPr>
              <w:pStyle w:val="178"/>
              <w:jc w:val="both"/>
            </w:pPr>
            <w:r>
              <w:rPr>
                <w:rFonts w:hint="eastAsia" w:hAnsi="宋体"/>
              </w:rPr>
              <w:t>烟气脱硫碳酸盐消耗量及碳酸盐原料中碳酸盐含碳量（如有）。</w:t>
            </w:r>
          </w:p>
        </w:tc>
        <w:tc>
          <w:tcPr>
            <w:tcW w:w="1831" w:type="dxa"/>
            <w:vAlign w:val="center"/>
          </w:tcPr>
          <w:p w14:paraId="7AA41180">
            <w:pPr>
              <w:pStyle w:val="178"/>
            </w:pPr>
            <w:r>
              <w:rPr>
                <w:rFonts w:hint="eastAsia" w:hAnsi="宋体"/>
              </w:rPr>
              <w:t>应使用现场数据</w:t>
            </w:r>
          </w:p>
        </w:tc>
      </w:tr>
      <w:tr w14:paraId="1DD3F9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vAlign w:val="center"/>
          </w:tcPr>
          <w:p w14:paraId="53C65FB2">
            <w:pPr>
              <w:pStyle w:val="178"/>
            </w:pPr>
          </w:p>
        </w:tc>
        <w:tc>
          <w:tcPr>
            <w:tcW w:w="3686" w:type="dxa"/>
            <w:vAlign w:val="center"/>
          </w:tcPr>
          <w:p w14:paraId="7C521305">
            <w:pPr>
              <w:pStyle w:val="178"/>
              <w:jc w:val="both"/>
            </w:pPr>
            <w:r>
              <w:t>原料、辅料、能源等在企业内的运输过程</w:t>
            </w:r>
            <w:r>
              <w:rPr>
                <w:rFonts w:hint="eastAsia"/>
              </w:rPr>
              <w:t>。</w:t>
            </w:r>
          </w:p>
        </w:tc>
        <w:tc>
          <w:tcPr>
            <w:tcW w:w="2551" w:type="dxa"/>
            <w:vAlign w:val="center"/>
          </w:tcPr>
          <w:p w14:paraId="73B0921C">
            <w:pPr>
              <w:pStyle w:val="178"/>
              <w:jc w:val="both"/>
            </w:pPr>
            <w:r>
              <w:rPr>
                <w:rFonts w:hint="eastAsia" w:hAnsi="宋体"/>
              </w:rPr>
              <w:t>厂内车辆运输消耗的柴油、汽油等燃油消耗量。</w:t>
            </w:r>
          </w:p>
        </w:tc>
        <w:tc>
          <w:tcPr>
            <w:tcW w:w="1831" w:type="dxa"/>
            <w:vAlign w:val="center"/>
          </w:tcPr>
          <w:p w14:paraId="57E24092">
            <w:pPr>
              <w:pStyle w:val="178"/>
            </w:pPr>
            <w:r>
              <w:rPr>
                <w:rFonts w:hint="eastAsia" w:hAnsi="宋体"/>
              </w:rPr>
              <w:t>应使用现场数据</w:t>
            </w:r>
          </w:p>
        </w:tc>
      </w:tr>
      <w:tr w14:paraId="24C939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tcBorders>
              <w:bottom w:val="single" w:color="auto" w:sz="8" w:space="0"/>
            </w:tcBorders>
            <w:vAlign w:val="center"/>
          </w:tcPr>
          <w:p w14:paraId="6812DDFF">
            <w:pPr>
              <w:pStyle w:val="178"/>
            </w:pPr>
          </w:p>
        </w:tc>
        <w:tc>
          <w:tcPr>
            <w:tcW w:w="3686" w:type="dxa"/>
            <w:tcBorders>
              <w:bottom w:val="single" w:color="auto" w:sz="8" w:space="0"/>
            </w:tcBorders>
            <w:vAlign w:val="center"/>
          </w:tcPr>
          <w:p w14:paraId="36DB5EB9">
            <w:pPr>
              <w:pStyle w:val="178"/>
              <w:jc w:val="both"/>
            </w:pPr>
            <w:r>
              <w:t>碳捕集、利用和封存过程</w:t>
            </w:r>
            <w:r>
              <w:rPr>
                <w:rFonts w:hint="eastAsia"/>
              </w:rPr>
              <w:t>。</w:t>
            </w:r>
          </w:p>
        </w:tc>
        <w:tc>
          <w:tcPr>
            <w:tcW w:w="2551" w:type="dxa"/>
            <w:tcBorders>
              <w:bottom w:val="single" w:color="auto" w:sz="8" w:space="0"/>
            </w:tcBorders>
            <w:vAlign w:val="center"/>
          </w:tcPr>
          <w:p w14:paraId="18CDA5F1">
            <w:pPr>
              <w:pStyle w:val="178"/>
              <w:jc w:val="both"/>
              <w:rPr>
                <w:rFonts w:hint="eastAsia" w:hAnsi="宋体"/>
              </w:rPr>
            </w:pPr>
            <w:r>
              <w:rPr>
                <w:rFonts w:hint="eastAsia" w:hAnsi="宋体"/>
              </w:rPr>
              <w:t>烟气中捕集的二氧化碳总量。</w:t>
            </w:r>
          </w:p>
        </w:tc>
        <w:tc>
          <w:tcPr>
            <w:tcW w:w="1831" w:type="dxa"/>
            <w:tcBorders>
              <w:bottom w:val="single" w:color="auto" w:sz="8" w:space="0"/>
            </w:tcBorders>
            <w:vAlign w:val="center"/>
          </w:tcPr>
          <w:p w14:paraId="2463D403">
            <w:pPr>
              <w:pStyle w:val="178"/>
              <w:rPr>
                <w:rFonts w:hint="eastAsia" w:hAnsi="宋体"/>
              </w:rPr>
            </w:pPr>
            <w:r>
              <w:rPr>
                <w:rFonts w:hint="eastAsia" w:hAnsi="宋体"/>
              </w:rPr>
              <w:t>宜使用现场数据，可使用次级数据。</w:t>
            </w:r>
          </w:p>
        </w:tc>
      </w:tr>
    </w:tbl>
    <w:p w14:paraId="56A35521">
      <w:pPr>
        <w:pStyle w:val="65"/>
        <w:spacing w:before="120" w:after="120"/>
      </w:pPr>
      <w:bookmarkStart w:id="114" w:name="_Toc219754377"/>
      <w:r>
        <w:rPr>
          <w:rFonts w:hint="eastAsia"/>
        </w:rPr>
        <w:t>数据质量要求</w:t>
      </w:r>
      <w:bookmarkEnd w:id="114"/>
    </w:p>
    <w:p w14:paraId="5305AE66">
      <w:pPr>
        <w:pStyle w:val="94"/>
        <w:spacing w:before="120" w:after="120"/>
      </w:pPr>
      <w:r>
        <w:rPr>
          <w:rFonts w:hint="eastAsia"/>
        </w:rPr>
        <w:t>现场数据的质量要求</w:t>
      </w:r>
    </w:p>
    <w:p w14:paraId="1C006FF9">
      <w:pPr>
        <w:pStyle w:val="174"/>
        <w:numPr>
          <w:ilvl w:val="0"/>
          <w:numId w:val="33"/>
        </w:numPr>
      </w:pPr>
      <w:r>
        <w:rPr>
          <w:rFonts w:hint="eastAsia"/>
        </w:rPr>
        <w:t>代表性：现场数据应按照企业生产单元收集所确定范围内的生产统计数据。</w:t>
      </w:r>
    </w:p>
    <w:p w14:paraId="57D47308">
      <w:pPr>
        <w:pStyle w:val="174"/>
      </w:pPr>
      <w:r>
        <w:rPr>
          <w:rFonts w:hint="eastAsia"/>
        </w:rPr>
        <w:t>完整性：现场数据应按6.3的原则,采集生产现场数据。</w:t>
      </w:r>
    </w:p>
    <w:p w14:paraId="0C4DD001">
      <w:pPr>
        <w:pStyle w:val="174"/>
      </w:pPr>
      <w:r>
        <w:rPr>
          <w:rFonts w:hint="eastAsia"/>
        </w:rPr>
        <w:t>准确性：现场数据中的资源、能源、原材料消耗数据应来自于生产单元的实际生产统计记录；环境排放数据优先选择相关的环境监测报告,或由排污因子或物料平衡公式计算获得。所有现场数据均应转换为单位产品,且需要详细记录相关的原始数据、数据来源、计算过程等。</w:t>
      </w:r>
    </w:p>
    <w:p w14:paraId="20315E87">
      <w:pPr>
        <w:pStyle w:val="174"/>
      </w:pPr>
      <w:r>
        <w:rPr>
          <w:rFonts w:hint="eastAsia"/>
        </w:rPr>
        <w:t>一致性：企业现场数据收集时应保持相同的数据来源、统计口径、处理规则等。</w:t>
      </w:r>
    </w:p>
    <w:p w14:paraId="2104224F">
      <w:pPr>
        <w:pStyle w:val="94"/>
        <w:spacing w:before="120" w:after="120"/>
      </w:pPr>
      <w:r>
        <w:rPr>
          <w:rFonts w:hint="eastAsia"/>
          <w:lang w:val="en-US" w:eastAsia="zh-CN"/>
        </w:rPr>
        <w:t>次</w:t>
      </w:r>
      <w:r>
        <w:rPr>
          <w:rFonts w:hint="eastAsia"/>
          <w:lang w:eastAsia="zh-CN"/>
        </w:rPr>
        <w:t>级</w:t>
      </w:r>
      <w:r>
        <w:rPr>
          <w:rFonts w:hint="eastAsia"/>
        </w:rPr>
        <w:t>数据的质量要求</w:t>
      </w:r>
    </w:p>
    <w:p w14:paraId="36A4EC31">
      <w:pPr>
        <w:pStyle w:val="174"/>
        <w:numPr>
          <w:ilvl w:val="0"/>
          <w:numId w:val="34"/>
        </w:numPr>
      </w:pPr>
      <w:r>
        <w:rPr>
          <w:rFonts w:hint="eastAsia"/>
        </w:rPr>
        <w:t>代表性(时间、地域、技术):</w:t>
      </w:r>
      <w:r>
        <w:rPr>
          <w:rFonts w:hint="eastAsia"/>
          <w:lang w:eastAsia="zh-CN"/>
        </w:rPr>
        <w:t>次级</w:t>
      </w:r>
      <w:r>
        <w:rPr>
          <w:rFonts w:hint="eastAsia"/>
        </w:rPr>
        <w:t>数据的选择应与实际生产的时间一致或接近，优先选择所属区域与实际生产一致或接近，对应的生产技术也需要保持一致。</w:t>
      </w:r>
    </w:p>
    <w:p w14:paraId="7005F62E">
      <w:pPr>
        <w:pStyle w:val="174"/>
      </w:pPr>
      <w:r>
        <w:rPr>
          <w:rFonts w:hint="eastAsia"/>
        </w:rPr>
        <w:t>完整性：</w:t>
      </w:r>
      <w:r>
        <w:rPr>
          <w:rFonts w:hint="eastAsia"/>
          <w:lang w:eastAsia="zh-CN"/>
        </w:rPr>
        <w:t>次级</w:t>
      </w:r>
      <w:r>
        <w:rPr>
          <w:rFonts w:hint="eastAsia"/>
        </w:rPr>
        <w:t>数据的系统边界应该从资源开采到这些原辅材料或能源产品出厂为止。</w:t>
      </w:r>
    </w:p>
    <w:p w14:paraId="2FC22F82">
      <w:pPr>
        <w:pStyle w:val="174"/>
      </w:pPr>
      <w:r>
        <w:rPr>
          <w:rFonts w:hint="eastAsia"/>
        </w:rPr>
        <w:t>一致性：应将</w:t>
      </w:r>
      <w:r>
        <w:rPr>
          <w:rFonts w:hint="eastAsia"/>
          <w:lang w:eastAsia="zh-CN"/>
        </w:rPr>
        <w:t>次级</w:t>
      </w:r>
      <w:r>
        <w:rPr>
          <w:rFonts w:hint="eastAsia"/>
        </w:rPr>
        <w:t>数据转换为一致的物质名录后再进行计算。同一第三方机构对同类产品生命周期评价的</w:t>
      </w:r>
      <w:r>
        <w:rPr>
          <w:rFonts w:hint="eastAsia"/>
          <w:lang w:eastAsia="zh-CN"/>
        </w:rPr>
        <w:t>次级</w:t>
      </w:r>
      <w:r>
        <w:rPr>
          <w:rFonts w:hint="eastAsia"/>
        </w:rPr>
        <w:t>数据选择应该保持一致,如果</w:t>
      </w:r>
      <w:r>
        <w:rPr>
          <w:rFonts w:hint="eastAsia"/>
          <w:lang w:eastAsia="zh-CN"/>
        </w:rPr>
        <w:t>次级</w:t>
      </w:r>
      <w:r>
        <w:rPr>
          <w:rFonts w:hint="eastAsia"/>
        </w:rPr>
        <w:t>数据更新,则生命周期评价报告也应更新。</w:t>
      </w:r>
    </w:p>
    <w:p w14:paraId="47A55E2D">
      <w:pPr>
        <w:pStyle w:val="105"/>
        <w:spacing w:before="120" w:after="120"/>
      </w:pPr>
      <w:bookmarkStart w:id="115" w:name="_Toc219754421"/>
      <w:bookmarkStart w:id="116" w:name="_Toc219754378"/>
      <w:r>
        <w:rPr>
          <w:rFonts w:hint="eastAsia"/>
        </w:rPr>
        <w:t>数据收集</w:t>
      </w:r>
      <w:bookmarkEnd w:id="115"/>
      <w:bookmarkEnd w:id="116"/>
    </w:p>
    <w:p w14:paraId="2E1AB6EC">
      <w:pPr>
        <w:pStyle w:val="65"/>
        <w:spacing w:before="120" w:after="120"/>
      </w:pPr>
      <w:bookmarkStart w:id="117" w:name="_Toc219754379"/>
      <w:r>
        <w:rPr>
          <w:rFonts w:hint="eastAsia"/>
        </w:rPr>
        <w:t>初级数据收集</w:t>
      </w:r>
      <w:bookmarkEnd w:id="117"/>
    </w:p>
    <w:p w14:paraId="51E835A7">
      <w:pPr>
        <w:pStyle w:val="94"/>
        <w:spacing w:before="120" w:after="120"/>
      </w:pPr>
      <w:r>
        <w:rPr>
          <w:rFonts w:hint="eastAsia"/>
        </w:rPr>
        <w:t>数据收集周期</w:t>
      </w:r>
    </w:p>
    <w:p w14:paraId="545F312B">
      <w:pPr>
        <w:pStyle w:val="56"/>
        <w:ind w:firstLine="420"/>
      </w:pPr>
      <w:r>
        <w:rPr>
          <w:rFonts w:hint="eastAsia"/>
        </w:rPr>
        <w:t>电解二氧化锰碳足迹量化数据宜以一个自然年为数据收集周期。其特点是年度数据符合组织常规的运营管理，涵盖生产波动的数据因素。数据收集表见附录C.1。</w:t>
      </w:r>
    </w:p>
    <w:p w14:paraId="62EE0EDE">
      <w:pPr>
        <w:pStyle w:val="94"/>
        <w:spacing w:before="120" w:after="120"/>
      </w:pPr>
      <w:r>
        <w:rPr>
          <w:rFonts w:hint="eastAsia"/>
        </w:rPr>
        <w:t>原辅材料和能源获取阶段</w:t>
      </w:r>
    </w:p>
    <w:p w14:paraId="61BD4917">
      <w:pPr>
        <w:pStyle w:val="56"/>
        <w:ind w:firstLine="420"/>
      </w:pPr>
      <w:r>
        <w:rPr>
          <w:rFonts w:hint="eastAsia"/>
        </w:rPr>
        <w:t>原辅材料和能源获取阶段应收集的初级数据包括：</w:t>
      </w:r>
    </w:p>
    <w:p w14:paraId="35A9ED85">
      <w:pPr>
        <w:pStyle w:val="174"/>
        <w:numPr>
          <w:ilvl w:val="0"/>
          <w:numId w:val="35"/>
        </w:numPr>
      </w:pPr>
      <w:r>
        <w:rPr>
          <w:rFonts w:hint="eastAsia"/>
        </w:rPr>
        <w:t>原辅材料的运输工具及其核定载重量、运输重量、运输距离；</w:t>
      </w:r>
    </w:p>
    <w:p w14:paraId="37E6D473">
      <w:pPr>
        <w:pStyle w:val="174"/>
      </w:pPr>
      <w:r>
        <w:rPr>
          <w:rFonts w:hint="eastAsia"/>
        </w:rPr>
        <w:t>能源的运输工具及其核定载重量、运输重量、运输距离。</w:t>
      </w:r>
    </w:p>
    <w:p w14:paraId="2D7115CC">
      <w:pPr>
        <w:pStyle w:val="94"/>
        <w:spacing w:before="120" w:after="120"/>
      </w:pPr>
      <w:r>
        <w:rPr>
          <w:rFonts w:hint="eastAsia"/>
        </w:rPr>
        <w:t>研磨单元</w:t>
      </w:r>
    </w:p>
    <w:p w14:paraId="665DFAAA">
      <w:pPr>
        <w:pStyle w:val="56"/>
        <w:ind w:firstLine="420"/>
      </w:pPr>
      <w:r>
        <w:rPr>
          <w:rFonts w:hint="eastAsia"/>
        </w:rPr>
        <w:t>研磨工序应收集的初级数据包括：</w:t>
      </w:r>
    </w:p>
    <w:p w14:paraId="3E663781">
      <w:pPr>
        <w:pStyle w:val="174"/>
        <w:numPr>
          <w:ilvl w:val="0"/>
          <w:numId w:val="36"/>
        </w:numPr>
      </w:pPr>
      <w:r>
        <w:rPr>
          <w:rFonts w:hint="eastAsia"/>
        </w:rPr>
        <w:t>碳酸锰矿、二氧化锰矿、硫铁矿等原矿处理量；</w:t>
      </w:r>
    </w:p>
    <w:p w14:paraId="726C3158">
      <w:pPr>
        <w:pStyle w:val="174"/>
      </w:pPr>
      <w:r>
        <w:rPr>
          <w:rFonts w:hint="eastAsia"/>
        </w:rPr>
        <w:t>研磨过程电力消耗量；</w:t>
      </w:r>
    </w:p>
    <w:p w14:paraId="3BADE2DF">
      <w:pPr>
        <w:pStyle w:val="174"/>
      </w:pPr>
      <w:r>
        <w:rPr>
          <w:rFonts w:hint="eastAsia"/>
        </w:rPr>
        <w:t>厂内运输工具及其核定载重量、运输距离。</w:t>
      </w:r>
    </w:p>
    <w:p w14:paraId="18E5600D">
      <w:pPr>
        <w:pStyle w:val="94"/>
        <w:spacing w:before="120" w:after="120"/>
      </w:pPr>
      <w:r>
        <w:rPr>
          <w:rFonts w:hint="eastAsia"/>
        </w:rPr>
        <w:t>焙烧单元</w:t>
      </w:r>
    </w:p>
    <w:p w14:paraId="32A2A0CD">
      <w:pPr>
        <w:pStyle w:val="56"/>
        <w:ind w:firstLine="420"/>
      </w:pPr>
      <w:r>
        <w:rPr>
          <w:rFonts w:hint="eastAsia"/>
        </w:rPr>
        <w:t>焙烧工序应收集的初级数据包括：</w:t>
      </w:r>
    </w:p>
    <w:p w14:paraId="23FF964A">
      <w:pPr>
        <w:pStyle w:val="174"/>
        <w:numPr>
          <w:ilvl w:val="0"/>
          <w:numId w:val="37"/>
        </w:numPr>
      </w:pPr>
      <w:r>
        <w:rPr>
          <w:rFonts w:hint="eastAsia"/>
        </w:rPr>
        <w:t>二氧化锰矿消耗量；</w:t>
      </w:r>
    </w:p>
    <w:p w14:paraId="1F35691B">
      <w:pPr>
        <w:pStyle w:val="174"/>
      </w:pPr>
      <w:r>
        <w:rPr>
          <w:rFonts w:hint="eastAsia"/>
        </w:rPr>
        <w:t>二氧化锰矿中碳酸盐含量；</w:t>
      </w:r>
    </w:p>
    <w:p w14:paraId="5F0DEA94">
      <w:pPr>
        <w:pStyle w:val="174"/>
      </w:pPr>
      <w:r>
        <w:rPr>
          <w:rFonts w:hint="eastAsia"/>
        </w:rPr>
        <w:t>焙烧过程能源（包括还原剂用能）消耗量；</w:t>
      </w:r>
    </w:p>
    <w:p w14:paraId="33ED0B54">
      <w:pPr>
        <w:pStyle w:val="174"/>
      </w:pPr>
      <w:r>
        <w:rPr>
          <w:rFonts w:hint="eastAsia"/>
        </w:rPr>
        <w:t>焙砂产量；</w:t>
      </w:r>
    </w:p>
    <w:p w14:paraId="27D86E02">
      <w:pPr>
        <w:pStyle w:val="174"/>
      </w:pPr>
      <w:r>
        <w:rPr>
          <w:rFonts w:hint="eastAsia"/>
        </w:rPr>
        <w:t>厂内运输工具及其核定载重量、运输距离。</w:t>
      </w:r>
    </w:p>
    <w:p w14:paraId="35010A0F">
      <w:pPr>
        <w:pStyle w:val="94"/>
        <w:spacing w:before="120" w:after="120"/>
      </w:pPr>
      <w:r>
        <w:rPr>
          <w:rFonts w:hint="eastAsia"/>
        </w:rPr>
        <w:t>化合单元</w:t>
      </w:r>
    </w:p>
    <w:p w14:paraId="03EBB84C">
      <w:pPr>
        <w:pStyle w:val="56"/>
        <w:ind w:firstLine="420"/>
      </w:pPr>
      <w:r>
        <w:rPr>
          <w:rFonts w:hint="eastAsia"/>
        </w:rPr>
        <w:t>化合工序应收集的初级数据包括：</w:t>
      </w:r>
    </w:p>
    <w:p w14:paraId="0509DCBB">
      <w:pPr>
        <w:pStyle w:val="174"/>
        <w:numPr>
          <w:ilvl w:val="0"/>
          <w:numId w:val="38"/>
        </w:numPr>
      </w:pPr>
      <w:r>
        <w:rPr>
          <w:rFonts w:hint="eastAsia"/>
        </w:rPr>
        <w:t>碳酸锰矿、二氧化锰矿或焙砂、硫铁矿、硫酸消耗量；</w:t>
      </w:r>
    </w:p>
    <w:p w14:paraId="6665B059">
      <w:pPr>
        <w:pStyle w:val="174"/>
      </w:pPr>
      <w:r>
        <w:rPr>
          <w:rFonts w:hint="eastAsia"/>
        </w:rPr>
        <w:t>中和剂消耗量；</w:t>
      </w:r>
    </w:p>
    <w:p w14:paraId="662B2BEF">
      <w:pPr>
        <w:pStyle w:val="174"/>
      </w:pPr>
      <w:r>
        <w:rPr>
          <w:rFonts w:hint="eastAsia"/>
        </w:rPr>
        <w:t>原辅材料中碳酸盐含量：</w:t>
      </w:r>
    </w:p>
    <w:p w14:paraId="2141555B">
      <w:pPr>
        <w:pStyle w:val="174"/>
      </w:pPr>
      <w:r>
        <w:rPr>
          <w:rFonts w:hint="eastAsia"/>
        </w:rPr>
        <w:t>化合过程能源消耗量；</w:t>
      </w:r>
    </w:p>
    <w:p w14:paraId="62743C41">
      <w:pPr>
        <w:pStyle w:val="174"/>
      </w:pPr>
      <w:r>
        <w:rPr>
          <w:rFonts w:hint="eastAsia"/>
        </w:rPr>
        <w:t>新水消耗量；</w:t>
      </w:r>
    </w:p>
    <w:p w14:paraId="20386C4C">
      <w:pPr>
        <w:pStyle w:val="174"/>
      </w:pPr>
      <w:r>
        <w:rPr>
          <w:rFonts w:hint="eastAsia"/>
        </w:rPr>
        <w:t>压滤渣产量。</w:t>
      </w:r>
    </w:p>
    <w:p w14:paraId="2F9F5B8E">
      <w:pPr>
        <w:pStyle w:val="94"/>
        <w:spacing w:before="120" w:after="120"/>
      </w:pPr>
      <w:r>
        <w:rPr>
          <w:rFonts w:hint="eastAsia"/>
        </w:rPr>
        <w:t>净化单元</w:t>
      </w:r>
    </w:p>
    <w:p w14:paraId="0F88160E">
      <w:pPr>
        <w:pStyle w:val="56"/>
        <w:ind w:firstLine="420"/>
      </w:pPr>
      <w:r>
        <w:rPr>
          <w:rFonts w:hint="eastAsia"/>
        </w:rPr>
        <w:t>净化工序应收集的初级数据包括：</w:t>
      </w:r>
    </w:p>
    <w:p w14:paraId="72C2C4CA">
      <w:pPr>
        <w:pStyle w:val="174"/>
        <w:numPr>
          <w:ilvl w:val="0"/>
          <w:numId w:val="39"/>
        </w:numPr>
      </w:pPr>
      <w:r>
        <w:rPr>
          <w:rFonts w:hint="eastAsia"/>
        </w:rPr>
        <w:t>净化剂消耗量；</w:t>
      </w:r>
    </w:p>
    <w:p w14:paraId="350471F2">
      <w:pPr>
        <w:pStyle w:val="174"/>
      </w:pPr>
      <w:r>
        <w:rPr>
          <w:rFonts w:hint="eastAsia"/>
        </w:rPr>
        <w:t>净化过程能源消耗量；</w:t>
      </w:r>
    </w:p>
    <w:p w14:paraId="06940E6F">
      <w:pPr>
        <w:pStyle w:val="174"/>
      </w:pPr>
      <w:r>
        <w:rPr>
          <w:rFonts w:hint="eastAsia"/>
        </w:rPr>
        <w:t>压滤渣产量。</w:t>
      </w:r>
    </w:p>
    <w:p w14:paraId="78FA70AB">
      <w:pPr>
        <w:pStyle w:val="94"/>
        <w:spacing w:before="120" w:after="120"/>
      </w:pPr>
      <w:r>
        <w:rPr>
          <w:rFonts w:hint="eastAsia"/>
        </w:rPr>
        <w:t>电解单元</w:t>
      </w:r>
    </w:p>
    <w:p w14:paraId="3AC140BD">
      <w:pPr>
        <w:pStyle w:val="56"/>
        <w:ind w:firstLine="420"/>
      </w:pPr>
      <w:r>
        <w:rPr>
          <w:rFonts w:hint="eastAsia"/>
        </w:rPr>
        <w:t>电解工序应收集的初级数据包括：</w:t>
      </w:r>
    </w:p>
    <w:p w14:paraId="22DD6CCD">
      <w:pPr>
        <w:pStyle w:val="174"/>
        <w:numPr>
          <w:ilvl w:val="0"/>
          <w:numId w:val="40"/>
        </w:numPr>
      </w:pPr>
      <w:r>
        <w:rPr>
          <w:rFonts w:hint="eastAsia"/>
        </w:rPr>
        <w:t>电解液消耗量；</w:t>
      </w:r>
    </w:p>
    <w:p w14:paraId="23A3BBA8">
      <w:pPr>
        <w:pStyle w:val="174"/>
      </w:pPr>
      <w:r>
        <w:rPr>
          <w:rFonts w:hint="eastAsia"/>
        </w:rPr>
        <w:t>电解过程能源消耗量；</w:t>
      </w:r>
    </w:p>
    <w:p w14:paraId="5B62E4EF">
      <w:pPr>
        <w:pStyle w:val="174"/>
      </w:pPr>
      <w:r>
        <w:rPr>
          <w:rFonts w:hint="eastAsia"/>
        </w:rPr>
        <w:t>余热回收利用量。</w:t>
      </w:r>
    </w:p>
    <w:p w14:paraId="7BF59AE8">
      <w:pPr>
        <w:pStyle w:val="94"/>
        <w:spacing w:before="120" w:after="120"/>
      </w:pPr>
      <w:r>
        <w:rPr>
          <w:rFonts w:hint="eastAsia"/>
        </w:rPr>
        <w:t>后处理单元</w:t>
      </w:r>
    </w:p>
    <w:p w14:paraId="1844C0AD">
      <w:pPr>
        <w:pStyle w:val="56"/>
        <w:ind w:firstLine="420"/>
      </w:pPr>
      <w:r>
        <w:rPr>
          <w:rFonts w:hint="eastAsia"/>
        </w:rPr>
        <w:t>后处理工序应收集的初级数据包括：</w:t>
      </w:r>
    </w:p>
    <w:p w14:paraId="20A07335">
      <w:pPr>
        <w:pStyle w:val="174"/>
        <w:numPr>
          <w:ilvl w:val="0"/>
          <w:numId w:val="41"/>
        </w:numPr>
      </w:pPr>
      <w:r>
        <w:rPr>
          <w:rFonts w:hint="eastAsia"/>
        </w:rPr>
        <w:t>辅助材料消耗量；</w:t>
      </w:r>
    </w:p>
    <w:p w14:paraId="4670813C">
      <w:pPr>
        <w:pStyle w:val="174"/>
      </w:pPr>
      <w:r>
        <w:rPr>
          <w:rFonts w:hint="eastAsia"/>
        </w:rPr>
        <w:t>后处理过程能源消耗量；</w:t>
      </w:r>
    </w:p>
    <w:p w14:paraId="651AB17D">
      <w:pPr>
        <w:pStyle w:val="174"/>
      </w:pPr>
      <w:r>
        <w:rPr>
          <w:rFonts w:hint="eastAsia"/>
        </w:rPr>
        <w:t>电解二氧化锰产品产量；</w:t>
      </w:r>
    </w:p>
    <w:p w14:paraId="4C17E851">
      <w:pPr>
        <w:pStyle w:val="174"/>
      </w:pPr>
      <w:r>
        <w:rPr>
          <w:rFonts w:hint="eastAsia"/>
        </w:rPr>
        <w:t>废水排放量。</w:t>
      </w:r>
    </w:p>
    <w:p w14:paraId="497A95AD">
      <w:pPr>
        <w:pStyle w:val="94"/>
        <w:spacing w:before="120" w:after="120"/>
      </w:pPr>
      <w:r>
        <w:rPr>
          <w:rFonts w:hint="eastAsia"/>
        </w:rPr>
        <w:t>辅助生产系统</w:t>
      </w:r>
    </w:p>
    <w:p w14:paraId="7ECCF878">
      <w:pPr>
        <w:pStyle w:val="56"/>
        <w:ind w:firstLine="420"/>
        <w:rPr>
          <w:color w:val="EE0000"/>
        </w:rPr>
      </w:pPr>
      <w:r>
        <w:rPr>
          <w:rFonts w:hint="eastAsia"/>
        </w:rPr>
        <w:t>辅助生产系统应收集的初级数据包括：</w:t>
      </w:r>
    </w:p>
    <w:p w14:paraId="1864FFA5">
      <w:pPr>
        <w:pStyle w:val="174"/>
        <w:numPr>
          <w:ilvl w:val="0"/>
          <w:numId w:val="42"/>
        </w:numPr>
      </w:pPr>
      <w:r>
        <w:rPr>
          <w:rFonts w:hint="eastAsia"/>
        </w:rPr>
        <w:t>能源消耗品种及消耗量；</w:t>
      </w:r>
    </w:p>
    <w:p w14:paraId="75B00DB7">
      <w:pPr>
        <w:pStyle w:val="174"/>
      </w:pPr>
      <w:r>
        <w:rPr>
          <w:rFonts w:hint="eastAsia"/>
        </w:rPr>
        <w:t>能源及耗能工质输出量；</w:t>
      </w:r>
    </w:p>
    <w:p w14:paraId="7E0B2F32">
      <w:pPr>
        <w:pStyle w:val="174"/>
      </w:pPr>
      <w:r>
        <w:rPr>
          <w:rFonts w:hint="eastAsia"/>
        </w:rPr>
        <w:t>固体废弃物产生量；</w:t>
      </w:r>
    </w:p>
    <w:p w14:paraId="0E1E8BFA">
      <w:pPr>
        <w:pStyle w:val="174"/>
      </w:pPr>
      <w:r>
        <w:rPr>
          <w:rFonts w:hint="eastAsia"/>
        </w:rPr>
        <w:t>厂内运输工具及其核定载重量、运输距离。</w:t>
      </w:r>
    </w:p>
    <w:p w14:paraId="44EC9E35">
      <w:pPr>
        <w:pStyle w:val="65"/>
        <w:spacing w:before="120" w:after="120"/>
      </w:pPr>
      <w:bookmarkStart w:id="118" w:name="_Toc219754380"/>
      <w:r>
        <w:rPr>
          <w:rFonts w:hint="eastAsia"/>
        </w:rPr>
        <w:t>次级数据收集</w:t>
      </w:r>
      <w:bookmarkEnd w:id="118"/>
    </w:p>
    <w:p w14:paraId="447E2D6C">
      <w:pPr>
        <w:pStyle w:val="94"/>
        <w:spacing w:before="120" w:after="120"/>
      </w:pPr>
      <w:r>
        <w:rPr>
          <w:rFonts w:hint="eastAsia"/>
        </w:rPr>
        <w:t>概述</w:t>
      </w:r>
    </w:p>
    <w:p w14:paraId="37A15DBA">
      <w:pPr>
        <w:pStyle w:val="56"/>
        <w:ind w:firstLine="420"/>
      </w:pPr>
      <w:r>
        <w:rPr>
          <w:rFonts w:hint="eastAsia"/>
        </w:rPr>
        <w:t>产品碳足迹的计算需要收集各种次级数据，如：</w:t>
      </w:r>
    </w:p>
    <w:p w14:paraId="44958C13">
      <w:pPr>
        <w:pStyle w:val="174"/>
        <w:numPr>
          <w:ilvl w:val="0"/>
          <w:numId w:val="43"/>
        </w:numPr>
      </w:pPr>
      <w:r>
        <w:rPr>
          <w:rFonts w:hint="eastAsia"/>
        </w:rPr>
        <w:t>外购各种原辅材料、燃料、能源的温室气体排放，这些消耗品不是报告主体生产的；</w:t>
      </w:r>
    </w:p>
    <w:p w14:paraId="382B9722">
      <w:pPr>
        <w:pStyle w:val="174"/>
      </w:pPr>
      <w:r>
        <w:rPr>
          <w:rFonts w:hint="eastAsia"/>
        </w:rPr>
        <w:t>温室气体排放因子，如收集到的燃料消耗量与温室气体排放的相关系数；</w:t>
      </w:r>
    </w:p>
    <w:p w14:paraId="7B51D235">
      <w:pPr>
        <w:pStyle w:val="174"/>
      </w:pPr>
      <w:r>
        <w:rPr>
          <w:rFonts w:hint="eastAsia"/>
        </w:rPr>
        <w:t>各种材料、燃料的不同运输方式产生的温室气体排放；</w:t>
      </w:r>
    </w:p>
    <w:p w14:paraId="0CFA39D0">
      <w:pPr>
        <w:pStyle w:val="174"/>
      </w:pPr>
      <w:r>
        <w:rPr>
          <w:rFonts w:hint="eastAsia"/>
        </w:rPr>
        <w:t>废物处理服务等第三方服务的温室气体排放。</w:t>
      </w:r>
    </w:p>
    <w:p w14:paraId="76888C18">
      <w:pPr>
        <w:pStyle w:val="94"/>
        <w:spacing w:before="120" w:after="120"/>
      </w:pPr>
      <w:r>
        <w:rPr>
          <w:rFonts w:hint="eastAsia"/>
        </w:rPr>
        <w:t>原辅材、燃料及服务供应的温室气体排放因子</w:t>
      </w:r>
    </w:p>
    <w:p w14:paraId="6F736303">
      <w:pPr>
        <w:pStyle w:val="56"/>
        <w:ind w:firstLine="420"/>
      </w:pPr>
      <w:r>
        <w:rPr>
          <w:rFonts w:hint="eastAsia"/>
        </w:rPr>
        <w:t>生产过程中消耗的原辅材料、燃料等上游排放相关数据，可能无法从供应商获得初级数据，也可来源于经权威机构验证且具有可信度的数据，包括数据库、公开文献、国家排放因子、计算估算数据或其他具有代表性的数据，推荐使用本土化数据库。</w:t>
      </w:r>
    </w:p>
    <w:p w14:paraId="38AA5251">
      <w:pPr>
        <w:pStyle w:val="94"/>
        <w:spacing w:before="120" w:after="120"/>
      </w:pPr>
      <w:r>
        <w:rPr>
          <w:rFonts w:hint="eastAsia"/>
        </w:rPr>
        <w:t>直接排放相关因子</w:t>
      </w:r>
    </w:p>
    <w:p w14:paraId="7924BA60">
      <w:pPr>
        <w:pStyle w:val="56"/>
        <w:ind w:firstLine="420"/>
      </w:pPr>
      <w:r>
        <w:rPr>
          <w:rFonts w:hint="eastAsia"/>
        </w:rPr>
        <w:t>燃料燃烧排放、过程排放需要用到相应的排放因子。当燃料或含碳物质的相关特征参数(如含碳量等)能获得时，应采用特征参数计算排放因子；如无法获得特征参数时，宜采用缺省值。</w:t>
      </w:r>
    </w:p>
    <w:p w14:paraId="110EE39F">
      <w:pPr>
        <w:pStyle w:val="94"/>
        <w:spacing w:before="120" w:after="120"/>
      </w:pPr>
      <w:r>
        <w:rPr>
          <w:rFonts w:hint="eastAsia"/>
        </w:rPr>
        <w:t>运输相关的温室气体排放因子</w:t>
      </w:r>
    </w:p>
    <w:p w14:paraId="033F1039">
      <w:pPr>
        <w:pStyle w:val="56"/>
        <w:ind w:firstLine="420"/>
      </w:pPr>
      <w:r>
        <w:rPr>
          <w:rFonts w:hint="eastAsia"/>
        </w:rPr>
        <w:t>运输相关的温室气体排放可采用以下三种方法计算，且方法优先次序如下：</w:t>
      </w:r>
    </w:p>
    <w:p w14:paraId="255E1CCC">
      <w:pPr>
        <w:pStyle w:val="174"/>
        <w:numPr>
          <w:ilvl w:val="0"/>
          <w:numId w:val="44"/>
        </w:numPr>
      </w:pPr>
      <w:r>
        <w:rPr>
          <w:rFonts w:hint="eastAsia"/>
        </w:rPr>
        <w:t>方法1:收集运输环节的燃料消耗量，如柴油、汽油的消耗量；通过燃料消耗量乘以燃料生产的上游排放因子以及燃料燃烧排放因子计算得到运输环节的温室气体排放。</w:t>
      </w:r>
    </w:p>
    <w:p w14:paraId="26837988">
      <w:pPr>
        <w:pStyle w:val="174"/>
      </w:pPr>
      <w:r>
        <w:rPr>
          <w:rFonts w:hint="eastAsia"/>
        </w:rPr>
        <w:t>方法2:收集运输方式(工具)、运输距离和运输工具的排放因子，基于已知的运输工具和运输距离，通过运输距离乘以相应运输工具的运输排放因子计算得到运输环节的温室气体排放。运输排放因子可从公开数据、行业统计或商业数据库获得。</w:t>
      </w:r>
    </w:p>
    <w:p w14:paraId="1CDA2276">
      <w:pPr>
        <w:pStyle w:val="174"/>
      </w:pPr>
      <w:r>
        <w:rPr>
          <w:rFonts w:hint="eastAsia"/>
        </w:rPr>
        <w:t>方法3:只能获得起点和终点，其他运输条件未知的情况下，通过简单物流链和网络地图等获得运输距离，再根据运量和运输方式估算温室气体排放。</w:t>
      </w:r>
    </w:p>
    <w:p w14:paraId="7768CA5A">
      <w:pPr>
        <w:pStyle w:val="65"/>
        <w:spacing w:before="120" w:after="120"/>
      </w:pPr>
      <w:bookmarkStart w:id="119" w:name="_Toc219754381"/>
      <w:r>
        <w:rPr>
          <w:rFonts w:hint="eastAsia"/>
        </w:rPr>
        <w:t>电力温室气体排因子</w:t>
      </w:r>
      <w:bookmarkEnd w:id="119"/>
    </w:p>
    <w:p w14:paraId="0A27D576">
      <w:pPr>
        <w:pStyle w:val="94"/>
        <w:spacing w:before="120" w:after="120"/>
      </w:pPr>
      <w:r>
        <w:rPr>
          <w:rFonts w:hint="eastAsia"/>
        </w:rPr>
        <w:t>内部发电</w:t>
      </w:r>
    </w:p>
    <w:p w14:paraId="3534BF99">
      <w:pPr>
        <w:pStyle w:val="56"/>
        <w:ind w:firstLine="420"/>
      </w:pPr>
      <w:r>
        <w:rPr>
          <w:rFonts w:hint="eastAsia"/>
        </w:rPr>
        <w:t>当电解二氧化锰产品消耗的电能为内部发电(例如现场发电),且未向第三方出售，则应将该电力的生命周期数据用于电解二氧化锰产品的碳足迹量化。</w:t>
      </w:r>
    </w:p>
    <w:p w14:paraId="43A71F1B">
      <w:pPr>
        <w:pStyle w:val="94"/>
        <w:spacing w:before="120" w:after="120"/>
      </w:pPr>
      <w:r>
        <w:rPr>
          <w:rFonts w:hint="eastAsia"/>
        </w:rPr>
        <w:t>直供电力</w:t>
      </w:r>
    </w:p>
    <w:p w14:paraId="7D61366E">
      <w:pPr>
        <w:pStyle w:val="56"/>
        <w:ind w:firstLine="420"/>
      </w:pPr>
      <w:r>
        <w:rPr>
          <w:rFonts w:hint="eastAsia"/>
        </w:rPr>
        <w:t>如果该组织与发电站之间具有专用输电线路，且所消耗的电力未向第三方出售，则使用该电力供应商提供的电力温室气体排放因子。</w:t>
      </w:r>
    </w:p>
    <w:p w14:paraId="1572222F">
      <w:pPr>
        <w:pStyle w:val="94"/>
        <w:spacing w:before="120" w:after="120"/>
      </w:pPr>
      <w:r>
        <w:rPr>
          <w:rFonts w:hint="eastAsia"/>
        </w:rPr>
        <w:t>电网电力</w:t>
      </w:r>
    </w:p>
    <w:p w14:paraId="5696213E">
      <w:pPr>
        <w:pStyle w:val="56"/>
        <w:ind w:firstLine="420"/>
      </w:pPr>
      <w:r>
        <w:rPr>
          <w:rFonts w:hint="eastAsia"/>
        </w:rPr>
        <w:t>当供应商能够通过合同工具的形式保证电力供应，应使用供应商特定电力生产的生命周期数据，电力产品应：</w:t>
      </w:r>
    </w:p>
    <w:p w14:paraId="58861BE4">
      <w:pPr>
        <w:pStyle w:val="132"/>
      </w:pPr>
      <w:r>
        <w:rPr>
          <w:rFonts w:hint="eastAsia"/>
        </w:rPr>
        <w:t>传递电力生产单位相关信息以及发电机组特征信息；</w:t>
      </w:r>
    </w:p>
    <w:p w14:paraId="2BE8E7E6">
      <w:pPr>
        <w:pStyle w:val="132"/>
      </w:pPr>
      <w:r>
        <w:rPr>
          <w:rFonts w:hint="eastAsia"/>
        </w:rPr>
        <w:t>保证唯一的使用权；</w:t>
      </w:r>
    </w:p>
    <w:p w14:paraId="211535E1">
      <w:pPr>
        <w:pStyle w:val="132"/>
      </w:pPr>
      <w:r>
        <w:rPr>
          <w:rFonts w:hint="eastAsia"/>
        </w:rPr>
        <w:t>由报告实体或报告实体代表追踪、赎回、报废或注销；</w:t>
      </w:r>
    </w:p>
    <w:p w14:paraId="45C0AB9D">
      <w:pPr>
        <w:pStyle w:val="132"/>
      </w:pPr>
      <w:r>
        <w:rPr>
          <w:rFonts w:hint="eastAsia"/>
        </w:rPr>
        <w:t>尽可能接近合同工具的适用期限，并包括相应的时间长度。</w:t>
      </w:r>
    </w:p>
    <w:p w14:paraId="0B848CB1">
      <w:pPr>
        <w:pStyle w:val="56"/>
        <w:ind w:firstLine="420"/>
      </w:pPr>
      <w:r>
        <w:rPr>
          <w:rFonts w:hint="eastAsia"/>
        </w:rPr>
        <w:t>当无法获得供应商的具体电力信息时，应使用与电力来源相关的电网GHG排放量。相关电网GHG排放量应反映相关地区的电力消耗情况，不包括任何之前已声明归属的电力。如果没有电力追踪系统，所选电网GHG排放量应反映该地区的电力消费情况。</w:t>
      </w:r>
    </w:p>
    <w:p w14:paraId="77160FEE">
      <w:pPr>
        <w:pStyle w:val="56"/>
        <w:ind w:firstLine="420"/>
      </w:pPr>
      <w:r>
        <w:rPr>
          <w:rFonts w:hint="eastAsia"/>
        </w:rPr>
        <w:t>如果非化石能源电力证书在出售时不直接与电力本身关联，来自非化石能源的部分电力作为非化石电力出售，但没有被排除在电网组合排放因子之外，在这种情况下，应使用电力跟踪系统开展相关消费电网组合分析，并在产品碳足迹报告中进行单独报告，以此来展示结果的差异。</w:t>
      </w:r>
    </w:p>
    <w:p w14:paraId="246E0F0E">
      <w:pPr>
        <w:pStyle w:val="105"/>
        <w:spacing w:before="120" w:after="120"/>
      </w:pPr>
      <w:bookmarkStart w:id="120" w:name="_Toc219754422"/>
      <w:bookmarkStart w:id="121" w:name="_Toc219754382"/>
      <w:r>
        <w:rPr>
          <w:rFonts w:hint="eastAsia"/>
        </w:rPr>
        <w:t>数据审定</w:t>
      </w:r>
      <w:bookmarkEnd w:id="120"/>
      <w:bookmarkEnd w:id="121"/>
    </w:p>
    <w:p w14:paraId="2D444DA6">
      <w:pPr>
        <w:pStyle w:val="56"/>
        <w:ind w:firstLine="420"/>
      </w:pPr>
      <w:r>
        <w:rPr>
          <w:rFonts w:hint="eastAsia"/>
        </w:rPr>
        <w:t>在数据收集过程中应对数据的有效性进行检查，以确认并提供证据证明其符合6.2.2规定的数据质量要求。</w:t>
      </w:r>
    </w:p>
    <w:p w14:paraId="3063B0AC">
      <w:pPr>
        <w:pStyle w:val="56"/>
        <w:ind w:firstLine="420"/>
      </w:pPr>
      <w:r>
        <w:rPr>
          <w:rFonts w:hint="eastAsia"/>
        </w:rPr>
        <w:t>数据审定宜通过建立质量平衡、能量平衡或排放因子的比较分析或其他适当的方法。由于每个单元过程都遵守物质和能量守恒定律，因此物质和能量的平衡可为单元过程描述的准确性提供有效的检查。</w:t>
      </w:r>
    </w:p>
    <w:p w14:paraId="7B7D8861">
      <w:pPr>
        <w:pStyle w:val="105"/>
        <w:spacing w:before="120" w:after="120"/>
      </w:pPr>
      <w:bookmarkStart w:id="122" w:name="_Toc219754383"/>
      <w:bookmarkStart w:id="123" w:name="_Toc219754423"/>
      <w:r>
        <w:rPr>
          <w:rFonts w:hint="eastAsia"/>
        </w:rPr>
        <w:t>分配原则</w:t>
      </w:r>
      <w:bookmarkEnd w:id="122"/>
      <w:bookmarkEnd w:id="123"/>
    </w:p>
    <w:p w14:paraId="19E5DF89">
      <w:pPr>
        <w:pStyle w:val="56"/>
        <w:ind w:firstLine="420"/>
      </w:pPr>
      <w:r>
        <w:rPr>
          <w:rFonts w:hint="eastAsia"/>
        </w:rPr>
        <w:t>在边界设置或数据收集时，应尽量避免进行数据分配。若发现至少有一个过程的输入和输出包含多个产品，则总排放量需要在产品生命周期内进行分配。分配的原则如下：</w:t>
      </w:r>
    </w:p>
    <w:p w14:paraId="22BD4CA2">
      <w:pPr>
        <w:pStyle w:val="174"/>
        <w:numPr>
          <w:ilvl w:val="0"/>
          <w:numId w:val="45"/>
        </w:numPr>
      </w:pPr>
      <w:r>
        <w:rPr>
          <w:rFonts w:hint="eastAsia"/>
        </w:rPr>
        <w:t>优先使用物理关系参数（包括但不限于生产量、生产工时等）进行分配；</w:t>
      </w:r>
    </w:p>
    <w:p w14:paraId="5331AFBA">
      <w:pPr>
        <w:pStyle w:val="174"/>
      </w:pPr>
      <w:r>
        <w:rPr>
          <w:rFonts w:hint="eastAsia"/>
        </w:rPr>
        <w:t>无法找到物理关系时，应依经济价值进行分配；</w:t>
      </w:r>
    </w:p>
    <w:p w14:paraId="342F5A59">
      <w:pPr>
        <w:pStyle w:val="174"/>
      </w:pPr>
      <w:r>
        <w:rPr>
          <w:rFonts w:hint="eastAsia"/>
        </w:rPr>
        <w:t>若使用其他分配方法，须提供所使用参数的来源及计算说明。</w:t>
      </w:r>
    </w:p>
    <w:p w14:paraId="17A9D1C4">
      <w:pPr>
        <w:pStyle w:val="105"/>
        <w:spacing w:before="120" w:after="120"/>
      </w:pPr>
      <w:bookmarkStart w:id="124" w:name="_Toc219754424"/>
      <w:bookmarkStart w:id="125" w:name="_Toc219754384"/>
      <w:r>
        <w:rPr>
          <w:rFonts w:hint="eastAsia"/>
        </w:rPr>
        <w:t>清单计算</w:t>
      </w:r>
      <w:bookmarkEnd w:id="124"/>
      <w:bookmarkEnd w:id="125"/>
    </w:p>
    <w:p w14:paraId="68E0FFFA">
      <w:pPr>
        <w:pStyle w:val="56"/>
        <w:ind w:firstLine="420"/>
      </w:pPr>
      <w:r>
        <w:rPr>
          <w:rFonts w:hint="eastAsia"/>
        </w:rPr>
        <w:t>生命周期清单分析结果通常表现为一系列的数据表，展示每声明单位产品在每个阶段/单元过程中的资源使用量(如原辅材料和能源),以及释放到环境中的排放物(如温室气体、废弃物等)。</w:t>
      </w:r>
    </w:p>
    <w:p w14:paraId="1AC9075E">
      <w:pPr>
        <w:pStyle w:val="104"/>
        <w:spacing w:before="240" w:after="240"/>
      </w:pPr>
      <w:bookmarkStart w:id="126" w:name="_Toc219754385"/>
      <w:bookmarkStart w:id="127" w:name="_Toc219754425"/>
      <w:bookmarkStart w:id="128" w:name="_Toc21688"/>
      <w:r>
        <w:rPr>
          <w:rFonts w:hint="eastAsia"/>
        </w:rPr>
        <w:t>影响评价</w:t>
      </w:r>
      <w:bookmarkEnd w:id="126"/>
      <w:bookmarkEnd w:id="127"/>
      <w:bookmarkEnd w:id="128"/>
    </w:p>
    <w:p w14:paraId="2D2C6A0E">
      <w:pPr>
        <w:pStyle w:val="105"/>
        <w:spacing w:before="120" w:after="120"/>
      </w:pPr>
      <w:bookmarkStart w:id="129" w:name="_Toc219754426"/>
      <w:bookmarkStart w:id="130" w:name="_Toc219754386"/>
      <w:r>
        <w:rPr>
          <w:rFonts w:hint="eastAsia"/>
        </w:rPr>
        <w:t>通则</w:t>
      </w:r>
      <w:bookmarkEnd w:id="129"/>
      <w:bookmarkEnd w:id="130"/>
    </w:p>
    <w:p w14:paraId="1BED6AD0">
      <w:pPr>
        <w:pStyle w:val="56"/>
        <w:ind w:firstLine="420"/>
        <w:rPr>
          <w:kern w:val="2"/>
          <w:szCs w:val="21"/>
        </w:rPr>
      </w:pPr>
      <w:r>
        <w:rPr>
          <w:rFonts w:hint="eastAsia"/>
        </w:rPr>
        <w:t>应通过排放或清除的</w:t>
      </w:r>
      <w:r>
        <w:rPr>
          <w:rFonts w:hint="eastAsia" w:cs="Calibri"/>
        </w:rPr>
        <w:t>GHG</w:t>
      </w:r>
      <w:r>
        <w:rPr>
          <w:rFonts w:hint="eastAsia"/>
        </w:rPr>
        <w:t>的质量乘以</w:t>
      </w:r>
      <w:r>
        <w:rPr>
          <w:rFonts w:hint="eastAsia" w:cs="Calibri"/>
        </w:rPr>
        <w:t>IPCC</w:t>
      </w:r>
      <w:r>
        <w:rPr>
          <w:rFonts w:hint="eastAsia"/>
        </w:rPr>
        <w:t>给出的</w:t>
      </w:r>
      <w:r>
        <w:rPr>
          <w:rFonts w:hint="eastAsia" w:cs="Calibri"/>
        </w:rPr>
        <w:t>100</w:t>
      </w:r>
      <w:r>
        <w:rPr>
          <w:rFonts w:hint="eastAsia"/>
        </w:rPr>
        <w:t>年</w:t>
      </w:r>
      <w:r>
        <w:rPr>
          <w:rFonts w:hint="eastAsia" w:cs="Calibri"/>
        </w:rPr>
        <w:t>GWP,</w:t>
      </w:r>
      <w:r>
        <w:rPr>
          <w:rFonts w:hint="eastAsia"/>
        </w:rPr>
        <w:t>来计算产品系统每种</w:t>
      </w:r>
      <w:r>
        <w:rPr>
          <w:rFonts w:hint="eastAsia" w:cs="Calibri"/>
        </w:rPr>
        <w:t>GHG</w:t>
      </w:r>
      <w:r>
        <w:rPr>
          <w:rFonts w:hint="eastAsia"/>
        </w:rPr>
        <w:t>排放和清除的潜在气候变化影响，单位为</w:t>
      </w:r>
      <w:r>
        <w:rPr>
          <w:rFonts w:ascii="Times New Roman"/>
        </w:rPr>
        <w:t>kgCO₂e/(kg</w:t>
      </w:r>
      <w:r>
        <w:rPr>
          <w:rFonts w:hint="eastAsia"/>
        </w:rPr>
        <w:t>排放量</w:t>
      </w:r>
      <w:r>
        <w:rPr>
          <w:rFonts w:hint="eastAsia" w:cs="Calibri"/>
        </w:rPr>
        <w:t>)</w:t>
      </w:r>
      <w:r>
        <w:rPr>
          <w:rFonts w:hint="eastAsia"/>
        </w:rPr>
        <w:t>。</w:t>
      </w:r>
    </w:p>
    <w:p w14:paraId="7E276B3A">
      <w:pPr>
        <w:pStyle w:val="180"/>
        <w:numPr>
          <w:ilvl w:val="0"/>
          <w:numId w:val="46"/>
        </w:numPr>
      </w:pPr>
      <w:r>
        <w:rPr>
          <w:rFonts w:hint="eastAsia"/>
        </w:rPr>
        <w:t>产品碳足迹为所有GHG潜在气候变化影响的总和。</w:t>
      </w:r>
    </w:p>
    <w:p w14:paraId="49497CB7">
      <w:pPr>
        <w:pStyle w:val="56"/>
        <w:ind w:firstLine="420"/>
      </w:pPr>
      <w:r>
        <w:rPr>
          <w:rFonts w:hint="eastAsia"/>
        </w:rPr>
        <w:t>若IPCC修订了GWP,应使用最新数值，否则应在报告中说明。</w:t>
      </w:r>
    </w:p>
    <w:p w14:paraId="23426102">
      <w:pPr>
        <w:pStyle w:val="56"/>
        <w:ind w:firstLine="420"/>
      </w:pPr>
      <w:r>
        <w:rPr>
          <w:rFonts w:hint="eastAsia"/>
        </w:rPr>
        <w:t>除GWP100外，还可以使用IPCC提供的其他时间范围的GWP和GTP,但宜单独报告。</w:t>
      </w:r>
    </w:p>
    <w:p w14:paraId="44904C1D">
      <w:pPr>
        <w:pStyle w:val="180"/>
      </w:pPr>
      <w:r>
        <w:rPr>
          <w:rFonts w:hint="eastAsia"/>
        </w:rPr>
        <w:t>GWP100代表短期的气候变化影响，可反映变暖速度。100年GTP代表长期的气候变化影响，可反映长期温升。与其他时间范围相比，选择100年的时间范围并无任何科学依据。该时间范围是国际公约的一个价值判断，它权衡了不同时间范围内可能发生的影响。</w:t>
      </w:r>
    </w:p>
    <w:p w14:paraId="6EC4CBD3">
      <w:pPr>
        <w:pStyle w:val="105"/>
        <w:spacing w:before="120" w:after="120"/>
      </w:pPr>
      <w:bookmarkStart w:id="131" w:name="_Toc219754427"/>
      <w:bookmarkStart w:id="132" w:name="_Toc219754387"/>
      <w:r>
        <w:rPr>
          <w:rFonts w:hint="eastAsia"/>
        </w:rPr>
        <w:t>生物碳影响评价</w:t>
      </w:r>
      <w:bookmarkEnd w:id="131"/>
      <w:bookmarkEnd w:id="132"/>
    </w:p>
    <w:p w14:paraId="0ECC4EF2">
      <w:pPr>
        <w:pStyle w:val="56"/>
        <w:ind w:firstLine="420"/>
      </w:pPr>
      <w:r>
        <w:rPr>
          <w:rFonts w:hint="eastAsia"/>
        </w:rPr>
        <w:t>在计算产品系统碳足迹时，生物质二氧化碳清除量应表示为</w:t>
      </w:r>
      <w:r>
        <w:t>-1kgCO₂e/kgCO₂,</w:t>
      </w:r>
      <w:r>
        <w:rPr>
          <w:rFonts w:hint="eastAsia"/>
        </w:rPr>
        <w:t>生物质二氧化碳排放量应表示为</w:t>
      </w:r>
      <w:r>
        <w:t>+1kgCO₂e/kgCO₂</w:t>
      </w:r>
      <w:r>
        <w:rPr>
          <w:rFonts w:hint="eastAsia"/>
        </w:rPr>
        <w:t>。</w:t>
      </w:r>
    </w:p>
    <w:p w14:paraId="4EFD65F7">
      <w:pPr>
        <w:pStyle w:val="105"/>
        <w:spacing w:before="120" w:after="120"/>
      </w:pPr>
      <w:bookmarkStart w:id="133" w:name="_Toc219754388"/>
      <w:bookmarkStart w:id="134" w:name="_Toc219754428"/>
      <w:r>
        <w:rPr>
          <w:rFonts w:hint="eastAsia"/>
        </w:rPr>
        <w:t>核算方法</w:t>
      </w:r>
      <w:bookmarkEnd w:id="133"/>
      <w:bookmarkEnd w:id="134"/>
    </w:p>
    <w:p w14:paraId="6A3D9C94">
      <w:pPr>
        <w:pStyle w:val="65"/>
        <w:spacing w:before="120" w:after="120"/>
      </w:pPr>
      <w:bookmarkStart w:id="135" w:name="_Toc219754389"/>
      <w:r>
        <w:rPr>
          <w:rFonts w:hint="eastAsia"/>
        </w:rPr>
        <w:t>概述</w:t>
      </w:r>
      <w:bookmarkEnd w:id="135"/>
    </w:p>
    <w:p w14:paraId="58ACD087">
      <w:pPr>
        <w:pStyle w:val="56"/>
        <w:ind w:firstLine="420"/>
      </w:pPr>
      <w:r>
        <w:rPr>
          <w:rFonts w:hint="eastAsia"/>
        </w:rPr>
        <w:t>电解二氧化锰产品碳足迹应按照原辅料及能源获取、原辅料及能源运输、产品生产阶段分别进行计算，电解二氧化锰产品生命周期碳足迹按式(1)计算：</w:t>
      </w:r>
    </w:p>
    <w:p w14:paraId="78C8A10F">
      <w:pPr>
        <w:pStyle w:val="113"/>
        <w:rPr>
          <w:rFonts w:hint="eastAsia"/>
        </w:rPr>
      </w:pPr>
      <w:r>
        <w:rPr>
          <w:rFonts w:hint="eastAsia"/>
        </w:rPr>
        <w:tab/>
      </w:r>
      <m:oMath>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ascii="Cambria Math" w:hAnsi="Cambria Math"/>
              </w:rPr>
              <m:t>GHG</m:t>
            </m:r>
            <m:ctrlPr>
              <w:rPr>
                <w:rFonts w:ascii="Cambria Math" w:hAnsi="Cambria Math"/>
                <w:i/>
              </w:rPr>
            </m:ctrlPr>
          </m:sub>
        </m:sSub>
        <m:r>
          <m:rPr/>
          <w:rPr>
            <w:rFonts w:ascii="Cambria Math" w:hAnsi="Cambria Math"/>
          </w:rPr>
          <m:t>=</m:t>
        </m:r>
        <m:nary>
          <m:naryPr>
            <m:chr m:val="∑"/>
            <m:limLoc m:val="undOvr"/>
            <m:ctrlPr>
              <w:rPr>
                <w:rFonts w:ascii="Cambria Math" w:hAnsi="Cambria Math"/>
                <w:i/>
              </w:rPr>
            </m:ctrlPr>
          </m:naryPr>
          <m:sub>
            <m:r>
              <m:rPr/>
              <w:rPr>
                <w:rFonts w:ascii="Cambria Math" w:hAnsi="Cambria Math"/>
              </w:rPr>
              <m:t>i</m:t>
            </m:r>
            <m:ctrlPr>
              <w:rPr>
                <w:rFonts w:ascii="Cambria Math" w:hAnsi="Cambria Math"/>
                <w:i/>
              </w:rPr>
            </m:ctrlPr>
          </m:sub>
          <m:sup>
            <m:ctrlPr>
              <w:rPr>
                <w:rFonts w:ascii="Cambria Math" w:hAnsi="Cambria Math"/>
                <w:i/>
              </w:rPr>
            </m:ctrlPr>
          </m:sup>
          <m:e>
            <m:d>
              <m:dPr>
                <m:ctrlPr>
                  <w:rPr>
                    <w:rFonts w:ascii="Cambria Math" w:hAnsi="Cambria Math"/>
                    <w:i/>
                  </w:rPr>
                </m:ctrlPr>
              </m:dPr>
              <m:e>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GWP</m:t>
                    </m:r>
                    <m:ctrlPr>
                      <w:rPr>
                        <w:rFonts w:ascii="Cambria Math" w:hAnsi="Cambria Math"/>
                        <w:i/>
                      </w:rPr>
                    </m:ctrlPr>
                  </m:e>
                  <m:sub>
                    <m:r>
                      <m:rPr/>
                      <w:rPr>
                        <w:rFonts w:hint="eastAsia" w:ascii="Cambria Math" w:hAnsi="Cambria Math"/>
                      </w:rPr>
                      <m:t>i</m:t>
                    </m:r>
                    <m:ctrlPr>
                      <w:rPr>
                        <w:rFonts w:ascii="Cambria Math" w:hAnsi="Cambria Math"/>
                        <w:i/>
                      </w:rPr>
                    </m:ctrlPr>
                  </m:sub>
                </m:sSub>
                <m:ctrlPr>
                  <w:rPr>
                    <w:rFonts w:ascii="Cambria Math" w:hAnsi="Cambria Math"/>
                    <w:i/>
                  </w:rPr>
                </m:ctrlPr>
              </m:e>
            </m:d>
            <m:ctrlPr>
              <w:rPr>
                <w:rFonts w:ascii="Cambria Math" w:hAnsi="Cambria Math"/>
                <w:i/>
              </w:rPr>
            </m:ctrlPr>
          </m:e>
        </m:nary>
      </m:oMath>
      <w:r>
        <w:rPr>
          <w:rFonts w:hint="eastAsia" w:ascii="微软雅黑" w:hAnsi="微软雅黑" w:eastAsia="微软雅黑"/>
        </w:rPr>
        <w:tab/>
      </w:r>
      <w:r>
        <w:t>(</w:t>
      </w:r>
      <w:r>
        <w:fldChar w:fldCharType="begin"/>
      </w:r>
      <w:r>
        <w:instrText xml:space="preserve"> AUTONUM </w:instrText>
      </w:r>
      <w:r>
        <w:fldChar w:fldCharType="end"/>
      </w:r>
      <w:r>
        <w:t>)</w:t>
      </w:r>
    </w:p>
    <w:p w14:paraId="43D7AA5E">
      <w:pPr>
        <w:pStyle w:val="55"/>
        <w:ind w:firstLine="420"/>
      </w:pPr>
      <w:r>
        <w:rPr>
          <w:rFonts w:hint="eastAsia"/>
        </w:rPr>
        <w:t>式中：</w:t>
      </w:r>
    </w:p>
    <w:p w14:paraId="43AFC3F8">
      <w:pPr>
        <w:pStyle w:val="56"/>
        <w:ind w:left="1470" w:leftChars="200" w:hanging="1050" w:hangingChars="500"/>
      </w:pPr>
      <m:oMath>
        <m:sSub>
          <m:sSubPr>
            <m:ctrlPr>
              <w:rPr>
                <w:rFonts w:ascii="Cambria Math" w:hAnsi="Cambria Math"/>
                <w:i/>
                <w:kern w:val="2"/>
                <w:szCs w:val="21"/>
              </w:rPr>
            </m:ctrlPr>
          </m:sSubPr>
          <m:e>
            <m:r>
              <m:rPr/>
              <w:rPr>
                <w:rFonts w:ascii="Cambria Math" w:hAnsi="Cambria Math"/>
              </w:rPr>
              <m:t>CFP</m:t>
            </m:r>
            <m:ctrlPr>
              <w:rPr>
                <w:rFonts w:ascii="Cambria Math" w:hAnsi="Cambria Math"/>
                <w:i/>
                <w:kern w:val="2"/>
                <w:szCs w:val="21"/>
              </w:rPr>
            </m:ctrlPr>
          </m:e>
          <m:sub>
            <m:r>
              <m:rPr/>
              <w:rPr>
                <w:rFonts w:ascii="Cambria Math" w:hAnsi="Cambria Math"/>
              </w:rPr>
              <m:t>GHG</m:t>
            </m:r>
            <m:ctrlPr>
              <w:rPr>
                <w:rFonts w:ascii="Cambria Math" w:hAnsi="Cambria Math"/>
                <w:i/>
                <w:kern w:val="2"/>
                <w:szCs w:val="21"/>
              </w:rPr>
            </m:ctrlPr>
          </m:sub>
        </m:sSub>
      </m:oMath>
      <w:r>
        <w:rPr>
          <w:rFonts w:hint="eastAsia"/>
        </w:rPr>
        <w:t>——产品碳足迹，单位为吨二氧化碳当量每吨电解二氧化锰(tCO2e/tEMD);</w:t>
      </w:r>
    </w:p>
    <w:p w14:paraId="48FDE98B">
      <w:pPr>
        <w:pStyle w:val="56"/>
        <w:ind w:left="1470" w:leftChars="200" w:hanging="1050" w:hangingChars="500"/>
      </w:pPr>
      <m:oMath>
        <m:sSub>
          <m:sSubPr>
            <m:ctrlPr>
              <w:rPr>
                <w:rFonts w:ascii="Cambria Math" w:hAnsi="Cambria Math"/>
                <w:i/>
                <w:kern w:val="2"/>
                <w:szCs w:val="21"/>
              </w:rPr>
            </m:ctrlPr>
          </m:sSubPr>
          <m:e>
            <m:r>
              <m:rPr/>
              <w:rPr>
                <w:rFonts w:ascii="Cambria Math" w:hAnsi="Cambria Math"/>
              </w:rPr>
              <m:t>CFP</m:t>
            </m:r>
            <m:ctrlPr>
              <w:rPr>
                <w:rFonts w:ascii="Cambria Math" w:hAnsi="Cambria Math"/>
                <w:i/>
                <w:kern w:val="2"/>
                <w:szCs w:val="21"/>
              </w:rPr>
            </m:ctrlPr>
          </m:e>
          <m:sub>
            <m:r>
              <m:rPr/>
              <w:rPr>
                <w:rFonts w:ascii="Cambria Math" w:hAnsi="Cambria Math"/>
              </w:rPr>
              <m:t>i</m:t>
            </m:r>
            <m:ctrlPr>
              <w:rPr>
                <w:rFonts w:ascii="Cambria Math" w:hAnsi="Cambria Math"/>
                <w:i/>
                <w:kern w:val="2"/>
                <w:szCs w:val="21"/>
              </w:rPr>
            </m:ctrlPr>
          </m:sub>
        </m:sSub>
      </m:oMath>
      <w:r>
        <w:rPr>
          <w:rFonts w:hint="eastAsia"/>
          <w:kern w:val="2"/>
          <w:szCs w:val="21"/>
        </w:rPr>
        <w:t xml:space="preserve">  </w:t>
      </w:r>
      <w:r>
        <w:rPr>
          <w:rFonts w:hint="eastAsia"/>
        </w:rPr>
        <w:t>——每声明单位第i类温室气体排放总量，单位为吨温室气体每吨电解二氧化锰（tGHG/tEMD），按式（2）计算；</w:t>
      </w:r>
    </w:p>
    <w:p w14:paraId="4FF55B47">
      <w:pPr>
        <w:pStyle w:val="56"/>
        <w:ind w:left="1470" w:leftChars="200" w:hanging="1050" w:hangingChars="500"/>
      </w:pPr>
      <m:oMath>
        <m:r>
          <m:rPr/>
          <w:rPr>
            <w:rFonts w:ascii="Cambria Math" w:hAnsi="Cambria Math"/>
          </w:rPr>
          <m:t>GWP</m:t>
        </m:r>
      </m:oMath>
      <w:r>
        <w:rPr>
          <w:rFonts w:hint="eastAsia"/>
        </w:rPr>
        <w:t xml:space="preserve">  ——第i类温室气体的GWP值，采用IPCC给出的100年GWP值，常见GWP值见附录D。</w:t>
      </w:r>
    </w:p>
    <w:p w14:paraId="12BB8E35">
      <w:pPr>
        <w:pStyle w:val="113"/>
        <w:rPr>
          <w:rFonts w:hint="eastAsia"/>
        </w:rPr>
      </w:pPr>
      <w:r>
        <w:rPr>
          <w:rFonts w:hint="eastAsia"/>
        </w:rPr>
        <w:tab/>
      </w:r>
      <m:oMath>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获取</m:t>
            </m:r>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运输</m:t>
            </m:r>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制造</m:t>
            </m:r>
            <m:r>
              <m:rPr/>
              <w:rPr>
                <w:rFonts w:ascii="Cambria Math" w:hAnsi="Cambria Math"/>
              </w:rPr>
              <m:t>,i</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CCUS,i</m:t>
                </m:r>
                <m:ctrlPr>
                  <w:rPr>
                    <w:rFonts w:ascii="Cambria Math" w:hAnsi="Cambria Math"/>
                    <w:i/>
                  </w:rPr>
                </m:ctrlPr>
              </m:sub>
            </m:sSub>
            <m:ctrlPr>
              <w:rPr>
                <w:rFonts w:ascii="Cambria Math" w:hAnsi="Cambria Math"/>
                <w:i/>
              </w:rPr>
            </m:ctrlPr>
          </m:num>
          <m:den>
            <m:r>
              <m:rPr/>
              <w:rPr>
                <w:rFonts w:ascii="Cambria Math" w:hAnsi="Cambria Math"/>
              </w:rPr>
              <m:t>P</m:t>
            </m:r>
            <m:ctrlPr>
              <w:rPr>
                <w:rFonts w:ascii="Cambria Math" w:hAnsi="Cambria Math"/>
                <w:i/>
              </w:rPr>
            </m:ctrlPr>
          </m:den>
        </m:f>
      </m:oMath>
      <w:r>
        <w:rPr>
          <w:rFonts w:hint="eastAsia" w:ascii="微软雅黑" w:hAnsi="微软雅黑" w:eastAsia="微软雅黑"/>
        </w:rPr>
        <w:tab/>
      </w:r>
      <w:r>
        <w:t>(</w:t>
      </w:r>
      <w:r>
        <w:fldChar w:fldCharType="begin"/>
      </w:r>
      <w:r>
        <w:instrText xml:space="preserve"> AUTONUM </w:instrText>
      </w:r>
      <w:r>
        <w:fldChar w:fldCharType="end"/>
      </w:r>
      <w:r>
        <w:t>)</w:t>
      </w:r>
    </w:p>
    <w:p w14:paraId="404B51CF">
      <w:pPr>
        <w:pStyle w:val="56"/>
        <w:ind w:firstLine="420"/>
      </w:pPr>
      <w:r>
        <w:rPr>
          <w:rFonts w:hint="eastAsia"/>
        </w:rPr>
        <w:t>式中：</w:t>
      </w:r>
    </w:p>
    <w:p w14:paraId="248E41C6">
      <w:pPr>
        <w:pStyle w:val="56"/>
        <w:ind w:left="1680" w:leftChars="200" w:hanging="1260" w:hangingChars="600"/>
      </w:pPr>
      <m:oMath>
        <m:sSub>
          <m:sSubPr>
            <m:ctrlPr>
              <w:rPr>
                <w:rFonts w:ascii="Cambria Math" w:hAnsi="Cambria Math"/>
                <w:i/>
                <w:kern w:val="2"/>
                <w:szCs w:val="21"/>
              </w:rPr>
            </m:ctrlPr>
          </m:sSubPr>
          <m:e>
            <m:r>
              <m:rPr/>
              <w:rPr>
                <w:rFonts w:ascii="Cambria Math" w:hAnsi="Cambria Math"/>
              </w:rPr>
              <m:t>CFP</m:t>
            </m:r>
            <m:ctrlPr>
              <w:rPr>
                <w:rFonts w:ascii="Cambria Math" w:hAnsi="Cambria Math"/>
                <w:i/>
                <w:kern w:val="2"/>
                <w:szCs w:val="21"/>
              </w:rPr>
            </m:ctrlPr>
          </m:e>
          <m:sub>
            <m:r>
              <m:rPr/>
              <w:rPr>
                <w:rFonts w:hint="eastAsia" w:ascii="Cambria Math" w:hAnsi="Cambria Math"/>
              </w:rPr>
              <m:t>获取</m:t>
            </m:r>
            <m:r>
              <m:rPr/>
              <w:rPr>
                <w:rFonts w:ascii="Cambria Math" w:hAnsi="Cambria Math"/>
              </w:rPr>
              <m:t>,i</m:t>
            </m:r>
            <m:ctrlPr>
              <w:rPr>
                <w:rFonts w:ascii="Cambria Math" w:hAnsi="Cambria Math"/>
                <w:i/>
                <w:kern w:val="2"/>
                <w:szCs w:val="21"/>
              </w:rPr>
            </m:ctrlPr>
          </m:sub>
        </m:sSub>
      </m:oMath>
      <w:r>
        <w:rPr>
          <w:rFonts w:hint="eastAsia"/>
        </w:rPr>
        <w:t>——每声明单位消耗的</w:t>
      </w:r>
      <w:r>
        <w:t>原辅材料、能源</w:t>
      </w:r>
      <w:r>
        <w:rPr>
          <w:rFonts w:hint="eastAsia"/>
        </w:rPr>
        <w:t>在</w:t>
      </w:r>
      <w:r>
        <w:t>获取阶段的</w:t>
      </w:r>
      <w:r>
        <w:rPr>
          <w:rFonts w:hint="eastAsia"/>
        </w:rPr>
        <w:t>第i种</w:t>
      </w:r>
      <w:r>
        <w:t>温室气体排放</w:t>
      </w:r>
      <w:r>
        <w:rPr>
          <w:rFonts w:hint="eastAsia"/>
        </w:rPr>
        <w:t>量</w:t>
      </w:r>
      <w:r>
        <w:t>，</w:t>
      </w:r>
      <w:r>
        <w:rPr>
          <w:rFonts w:hint="eastAsia"/>
        </w:rPr>
        <w:t>单位为</w:t>
      </w:r>
      <w:r>
        <w:t>t/t</w:t>
      </w:r>
      <w:r>
        <w:rPr>
          <w:rFonts w:hint="eastAsia"/>
        </w:rPr>
        <w:t>EMD</w:t>
      </w:r>
      <w:r>
        <w:t>，按式(</w:t>
      </w:r>
      <w:r>
        <w:rPr>
          <w:rFonts w:hint="eastAsia"/>
        </w:rPr>
        <w:t>3</w:t>
      </w:r>
      <w:r>
        <w:t>)计算</w:t>
      </w:r>
      <w:r>
        <w:rPr>
          <w:rFonts w:hint="eastAsia"/>
        </w:rPr>
        <w:t>；</w:t>
      </w:r>
    </w:p>
    <w:p w14:paraId="007E1F07">
      <w:pPr>
        <w:pStyle w:val="56"/>
        <w:ind w:left="1680" w:leftChars="200" w:hanging="1260" w:hangingChars="600"/>
      </w:pPr>
      <m:oMath>
        <m:sSub>
          <m:sSubPr>
            <m:ctrlPr>
              <w:rPr>
                <w:rFonts w:ascii="Cambria Math" w:hAnsi="Cambria Math"/>
                <w:i/>
                <w:kern w:val="2"/>
                <w:szCs w:val="21"/>
              </w:rPr>
            </m:ctrlPr>
          </m:sSubPr>
          <m:e>
            <m:r>
              <m:rPr/>
              <w:rPr>
                <w:rFonts w:ascii="Cambria Math" w:hAnsi="Cambria Math"/>
              </w:rPr>
              <m:t>CFP</m:t>
            </m:r>
            <m:ctrlPr>
              <w:rPr>
                <w:rFonts w:ascii="Cambria Math" w:hAnsi="Cambria Math"/>
                <w:i/>
                <w:kern w:val="2"/>
                <w:szCs w:val="21"/>
              </w:rPr>
            </m:ctrlPr>
          </m:e>
          <m:sub>
            <m:r>
              <m:rPr/>
              <w:rPr>
                <w:rFonts w:hint="eastAsia" w:ascii="Cambria Math" w:hAnsi="Cambria Math"/>
              </w:rPr>
              <m:t>运输</m:t>
            </m:r>
            <m:r>
              <m:rPr/>
              <w:rPr>
                <w:rFonts w:ascii="Cambria Math" w:hAnsi="Cambria Math"/>
              </w:rPr>
              <m:t>,i</m:t>
            </m:r>
            <m:ctrlPr>
              <w:rPr>
                <w:rFonts w:ascii="Cambria Math" w:hAnsi="Cambria Math"/>
                <w:i/>
                <w:kern w:val="2"/>
                <w:szCs w:val="21"/>
              </w:rPr>
            </m:ctrlPr>
          </m:sub>
        </m:sSub>
      </m:oMath>
      <w:r>
        <w:rPr>
          <w:rFonts w:hint="eastAsia"/>
        </w:rPr>
        <w:t>——每声明单位消耗的原辅材料、能源在运输阶段的第i种温室气体排放量，单位为</w:t>
      </w:r>
      <w:r>
        <w:t>t/t</w:t>
      </w:r>
      <w:r>
        <w:rPr>
          <w:rFonts w:hint="eastAsia"/>
        </w:rPr>
        <w:t>EMD，按式(4)计算；</w:t>
      </w:r>
    </w:p>
    <w:p w14:paraId="0178F7B5">
      <w:pPr>
        <w:pStyle w:val="56"/>
        <w:ind w:left="1680" w:leftChars="200" w:hanging="1260" w:hangingChars="600"/>
      </w:pPr>
      <m:oMath>
        <m:sSub>
          <m:sSubPr>
            <m:ctrlPr>
              <w:rPr>
                <w:rFonts w:ascii="Cambria Math" w:hAnsi="Cambria Math"/>
                <w:i/>
                <w:kern w:val="2"/>
                <w:szCs w:val="21"/>
              </w:rPr>
            </m:ctrlPr>
          </m:sSubPr>
          <m:e>
            <m:r>
              <m:rPr/>
              <w:rPr>
                <w:rFonts w:ascii="Cambria Math" w:hAnsi="Cambria Math"/>
              </w:rPr>
              <m:t>CFP</m:t>
            </m:r>
            <m:ctrlPr>
              <w:rPr>
                <w:rFonts w:ascii="Cambria Math" w:hAnsi="Cambria Math"/>
                <w:i/>
                <w:kern w:val="2"/>
                <w:szCs w:val="21"/>
              </w:rPr>
            </m:ctrlPr>
          </m:e>
          <m:sub>
            <m:r>
              <m:rPr/>
              <w:rPr>
                <w:rFonts w:hint="eastAsia" w:ascii="Cambria Math" w:hAnsi="Cambria Math"/>
              </w:rPr>
              <m:t>制造</m:t>
            </m:r>
            <m:r>
              <m:rPr/>
              <w:rPr>
                <w:rFonts w:ascii="Cambria Math" w:hAnsi="Cambria Math"/>
              </w:rPr>
              <m:t>,i</m:t>
            </m:r>
            <m:ctrlPr>
              <w:rPr>
                <w:rFonts w:ascii="Cambria Math" w:hAnsi="Cambria Math"/>
                <w:i/>
                <w:kern w:val="2"/>
                <w:szCs w:val="21"/>
              </w:rPr>
            </m:ctrlPr>
          </m:sub>
        </m:sSub>
      </m:oMath>
      <w:r>
        <w:rPr>
          <w:rFonts w:hint="eastAsia"/>
        </w:rPr>
        <w:t>——每声明单位在生产阶段的第i种温室气体排放量，单位为</w:t>
      </w:r>
      <w:r>
        <w:t>t/t</w:t>
      </w:r>
      <w:r>
        <w:rPr>
          <w:rFonts w:hint="eastAsia"/>
        </w:rPr>
        <w:t>EMD，按式(5)计算；</w:t>
      </w:r>
    </w:p>
    <w:p w14:paraId="18C39C05">
      <w:pPr>
        <w:pStyle w:val="56"/>
        <w:ind w:left="1680" w:leftChars="200" w:hanging="1260" w:hangingChars="600"/>
      </w:pPr>
      <m:oMath>
        <m:sSub>
          <m:sSubPr>
            <m:ctrlPr>
              <w:rPr>
                <w:rFonts w:ascii="Cambria Math" w:hAnsi="Cambria Math"/>
                <w:i/>
                <w:kern w:val="2"/>
                <w:szCs w:val="21"/>
              </w:rPr>
            </m:ctrlPr>
          </m:sSubPr>
          <m:e>
            <m:r>
              <m:rPr/>
              <w:rPr>
                <w:rFonts w:ascii="Cambria Math" w:hAnsi="Cambria Math"/>
              </w:rPr>
              <m:t>E</m:t>
            </m:r>
            <m:ctrlPr>
              <w:rPr>
                <w:rFonts w:ascii="Cambria Math" w:hAnsi="Cambria Math"/>
                <w:i/>
                <w:kern w:val="2"/>
                <w:szCs w:val="21"/>
              </w:rPr>
            </m:ctrlPr>
          </m:e>
          <m:sub>
            <m:r>
              <m:rPr/>
              <w:rPr>
                <w:rFonts w:ascii="Cambria Math" w:hAnsi="Cambria Math"/>
              </w:rPr>
              <m:t>CCUS,i</m:t>
            </m:r>
            <m:ctrlPr>
              <w:rPr>
                <w:rFonts w:ascii="Cambria Math" w:hAnsi="Cambria Math"/>
                <w:i/>
                <w:kern w:val="2"/>
                <w:szCs w:val="21"/>
              </w:rPr>
            </m:ctrlPr>
          </m:sub>
        </m:sSub>
      </m:oMath>
      <w:r>
        <w:rPr>
          <w:rFonts w:hint="eastAsia"/>
        </w:rPr>
        <w:t xml:space="preserve">  ——CCUS工艺的第i种温室气体清除量，单位为</w:t>
      </w:r>
      <w:r>
        <w:t>t</w:t>
      </w:r>
      <w:r>
        <w:rPr>
          <w:rFonts w:hint="eastAsia"/>
        </w:rPr>
        <w:t>；</w:t>
      </w:r>
    </w:p>
    <w:p w14:paraId="234532D0">
      <w:pPr>
        <w:pStyle w:val="56"/>
        <w:ind w:left="1680" w:leftChars="200" w:hanging="1260" w:hangingChars="600"/>
      </w:pPr>
      <w:r>
        <w:rPr>
          <w:rFonts w:hint="eastAsia"/>
        </w:rPr>
        <w:t xml:space="preserve">P       </w:t>
      </w:r>
      <w:r>
        <w:t>——</w:t>
      </w:r>
      <w:r>
        <w:rPr>
          <w:rFonts w:hint="eastAsia"/>
        </w:rPr>
        <w:t>电解二氧化锰合格产品产量，单位为</w:t>
      </w:r>
      <w:r>
        <w:t>t。</w:t>
      </w:r>
    </w:p>
    <w:p w14:paraId="30BB093A">
      <w:pPr>
        <w:pStyle w:val="65"/>
        <w:spacing w:before="120" w:after="120"/>
      </w:pPr>
      <w:bookmarkStart w:id="136" w:name="_Toc219754390"/>
      <w:r>
        <w:rPr>
          <w:rFonts w:hint="eastAsia"/>
        </w:rPr>
        <w:t>原辅材料、能源获取阶段</w:t>
      </w:r>
      <w:bookmarkEnd w:id="136"/>
    </w:p>
    <w:p w14:paraId="125DC5FC">
      <w:pPr>
        <w:pStyle w:val="113"/>
        <w:rPr>
          <w:rFonts w:hint="eastAsia"/>
        </w:rPr>
      </w:pPr>
      <w:r>
        <w:rPr>
          <w:rFonts w:hint="eastAsia"/>
        </w:rPr>
        <w:tab/>
      </w:r>
      <m:oMath>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获取</m:t>
            </m:r>
            <m:r>
              <m:rPr/>
              <w:rPr>
                <w:rFonts w:ascii="Cambria Math" w:hAnsi="Cambria Math"/>
              </w:rPr>
              <m:t>,i</m:t>
            </m:r>
            <m:ctrlPr>
              <w:rPr>
                <w:rFonts w:ascii="Cambria Math" w:hAnsi="Cambria Math"/>
                <w:i/>
              </w:rPr>
            </m:ctrlPr>
          </m:sub>
        </m:sSub>
        <m:r>
          <m:rPr/>
          <w:rPr>
            <w:rFonts w:ascii="Cambria Math" w:hAnsi="Cambria Math"/>
          </w:rPr>
          <m:t>=</m:t>
        </m:r>
        <m:nary>
          <m:naryPr>
            <m:chr m:val="∑"/>
            <m:limLoc m:val="undOvr"/>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d>
              <m:dPr>
                <m:ctrlPr>
                  <w:rPr>
                    <w:rFonts w:ascii="Cambria Math" w:hAnsi="Cambria Math"/>
                    <w:i/>
                  </w:rPr>
                </m:ctrlPr>
              </m:dPr>
              <m:e>
                <m:sSub>
                  <m:sSubPr>
                    <m:ctrlPr>
                      <w:rPr>
                        <w:rFonts w:ascii="Cambria Math" w:hAnsi="Cambria Math"/>
                        <w:i/>
                      </w:rPr>
                    </m:ctrlPr>
                  </m:sSubPr>
                  <m:e>
                    <m:r>
                      <m:rPr/>
                      <w:rPr>
                        <w:rFonts w:ascii="Cambria Math" w:hAnsi="Cambria Math"/>
                      </w:rPr>
                      <m:t>AD</m:t>
                    </m:r>
                    <m:ctrlPr>
                      <w:rPr>
                        <w:rFonts w:ascii="Cambria Math" w:hAnsi="Cambria Math"/>
                        <w:i/>
                      </w:rPr>
                    </m:ctrlPr>
                  </m:e>
                  <m:sub>
                    <m:r>
                      <m:rPr/>
                      <w:rPr>
                        <w:rFonts w:ascii="Cambria Math" w:hAnsi="Cambria Math"/>
                      </w:rPr>
                      <m:t>k</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EF</m:t>
                    </m:r>
                    <m:ctrlPr>
                      <w:rPr>
                        <w:rFonts w:ascii="Cambria Math" w:hAnsi="Cambria Math"/>
                        <w:i/>
                      </w:rPr>
                    </m:ctrlPr>
                  </m:e>
                  <m:sub>
                    <m:r>
                      <m:rPr/>
                      <w:rPr>
                        <w:rFonts w:hint="eastAsia" w:ascii="Cambria Math" w:hAnsi="Cambria Math"/>
                      </w:rPr>
                      <m:t>k</m:t>
                    </m:r>
                    <m:r>
                      <m:rPr/>
                      <w:rPr>
                        <w:rFonts w:ascii="Cambria Math" w:hAnsi="Cambria Math"/>
                      </w:rPr>
                      <m:t>,i</m:t>
                    </m:r>
                    <m:ctrlPr>
                      <w:rPr>
                        <w:rFonts w:ascii="Cambria Math" w:hAnsi="Cambria Math"/>
                        <w:i/>
                      </w:rPr>
                    </m:ctrlPr>
                  </m:sub>
                </m:sSub>
                <m:ctrlPr>
                  <w:rPr>
                    <w:rFonts w:ascii="Cambria Math" w:hAnsi="Cambria Math"/>
                    <w:i/>
                  </w:rPr>
                </m:ctrlPr>
              </m:e>
            </m:d>
            <m:ctrlPr>
              <w:rPr>
                <w:rFonts w:ascii="Cambria Math" w:hAnsi="Cambria Math"/>
                <w:i/>
              </w:rPr>
            </m:ctrlPr>
          </m:e>
        </m:nary>
      </m:oMath>
      <w:r>
        <w:rPr>
          <w:rFonts w:hint="eastAsia" w:ascii="微软雅黑" w:hAnsi="微软雅黑" w:eastAsia="微软雅黑"/>
        </w:rPr>
        <w:tab/>
      </w:r>
      <w:r>
        <w:t>(</w:t>
      </w:r>
      <w:r>
        <w:fldChar w:fldCharType="begin"/>
      </w:r>
      <w:r>
        <w:instrText xml:space="preserve"> AUTONUM </w:instrText>
      </w:r>
      <w:r>
        <w:fldChar w:fldCharType="end"/>
      </w:r>
      <w:r>
        <w:t>)</w:t>
      </w:r>
    </w:p>
    <w:p w14:paraId="32811074">
      <w:pPr>
        <w:pStyle w:val="55"/>
        <w:ind w:firstLine="420"/>
      </w:pPr>
      <w:r>
        <w:rPr>
          <w:rFonts w:hint="eastAsia"/>
        </w:rPr>
        <w:t>式中：</w:t>
      </w:r>
    </w:p>
    <w:p w14:paraId="1C61014E">
      <w:pPr>
        <w:pStyle w:val="56"/>
        <w:ind w:left="1470" w:leftChars="200" w:hanging="1050" w:hangingChars="500"/>
      </w:pPr>
      <m:oMath>
        <m:sSub>
          <m:sSubPr>
            <m:ctrlPr>
              <w:rPr>
                <w:rFonts w:ascii="Cambria Math" w:hAnsi="Cambria Math"/>
                <w:i/>
                <w:kern w:val="2"/>
                <w:szCs w:val="21"/>
              </w:rPr>
            </m:ctrlPr>
          </m:sSubPr>
          <m:e>
            <m:r>
              <m:rPr/>
              <w:rPr>
                <w:rFonts w:ascii="Cambria Math" w:hAnsi="Cambria Math"/>
              </w:rPr>
              <m:t>AD</m:t>
            </m:r>
            <m:ctrlPr>
              <w:rPr>
                <w:rFonts w:ascii="Cambria Math" w:hAnsi="Cambria Math"/>
                <w:i/>
                <w:kern w:val="2"/>
                <w:szCs w:val="21"/>
              </w:rPr>
            </m:ctrlPr>
          </m:e>
          <m:sub>
            <m:r>
              <m:rPr/>
              <w:rPr>
                <w:rFonts w:ascii="Cambria Math" w:hAnsi="Cambria Math"/>
              </w:rPr>
              <m:t>k</m:t>
            </m:r>
            <m:ctrlPr>
              <w:rPr>
                <w:rFonts w:ascii="Cambria Math" w:hAnsi="Cambria Math"/>
                <w:i/>
                <w:kern w:val="2"/>
                <w:szCs w:val="21"/>
              </w:rPr>
            </m:ctrlPr>
          </m:sub>
        </m:sSub>
      </m:oMath>
      <w:r>
        <w:rPr>
          <w:rFonts w:hint="eastAsia"/>
          <w:kern w:val="2"/>
          <w:szCs w:val="21"/>
        </w:rPr>
        <w:t xml:space="preserve">  </w:t>
      </w:r>
      <w:r>
        <w:rPr>
          <w:rFonts w:hint="eastAsia"/>
        </w:rPr>
        <w:t>——核算边界和报告期内每声明单位第k种原辅材料、能源的消耗量，单位与原辅材料、能源相匹配，如t</w:t>
      </w:r>
      <w:r>
        <w:t>/t</w:t>
      </w:r>
      <w:r>
        <w:rPr>
          <w:rFonts w:hint="eastAsia"/>
        </w:rPr>
        <w:t>EMD；</w:t>
      </w:r>
    </w:p>
    <w:p w14:paraId="507BD049">
      <w:pPr>
        <w:pStyle w:val="56"/>
        <w:ind w:left="1470" w:leftChars="200" w:hanging="1050" w:hangingChars="500"/>
      </w:pPr>
      <m:oMath>
        <m:sSub>
          <m:sSubPr>
            <m:ctrlPr>
              <w:rPr>
                <w:rFonts w:ascii="Cambria Math" w:hAnsi="Cambria Math"/>
                <w:i/>
                <w:kern w:val="2"/>
                <w:szCs w:val="21"/>
              </w:rPr>
            </m:ctrlPr>
          </m:sSubPr>
          <m:e>
            <m:r>
              <m:rPr/>
              <w:rPr>
                <w:rFonts w:ascii="Cambria Math" w:hAnsi="Cambria Math"/>
              </w:rPr>
              <m:t>EF</m:t>
            </m:r>
            <m:ctrlPr>
              <w:rPr>
                <w:rFonts w:ascii="Cambria Math" w:hAnsi="Cambria Math"/>
                <w:i/>
                <w:kern w:val="2"/>
                <w:szCs w:val="21"/>
              </w:rPr>
            </m:ctrlPr>
          </m:e>
          <m:sub>
            <m:r>
              <m:rPr/>
              <w:rPr>
                <w:rFonts w:hint="eastAsia" w:ascii="Cambria Math" w:hAnsi="Cambria Math"/>
              </w:rPr>
              <m:t>k</m:t>
            </m:r>
            <m:r>
              <m:rPr/>
              <w:rPr>
                <w:rFonts w:ascii="Cambria Math" w:hAnsi="Cambria Math"/>
              </w:rPr>
              <m:t>,i</m:t>
            </m:r>
            <m:ctrlPr>
              <w:rPr>
                <w:rFonts w:ascii="Cambria Math" w:hAnsi="Cambria Math"/>
                <w:i/>
                <w:kern w:val="2"/>
                <w:szCs w:val="21"/>
              </w:rPr>
            </m:ctrlPr>
          </m:sub>
        </m:sSub>
      </m:oMath>
      <w:r>
        <w:rPr>
          <w:rFonts w:hint="eastAsia"/>
          <w:kern w:val="2"/>
          <w:szCs w:val="21"/>
        </w:rPr>
        <w:t xml:space="preserve"> </w:t>
      </w:r>
      <w:r>
        <w:t>——</w:t>
      </w:r>
      <w:r>
        <w:rPr>
          <w:rFonts w:hint="eastAsia"/>
        </w:rPr>
        <w:t>第k种原辅材料、能源开采及生产过程第i种温室气体排放因子，单位与原辅材料、能源相匹配，如</w:t>
      </w:r>
      <w:r>
        <w:t>t</w:t>
      </w:r>
      <w:r>
        <w:rPr>
          <w:rFonts w:hint="eastAsia"/>
        </w:rPr>
        <w:t>GHG</w:t>
      </w:r>
      <w:r>
        <w:t>/t</w:t>
      </w:r>
      <w:r>
        <w:rPr>
          <w:rFonts w:hint="eastAsia"/>
        </w:rPr>
        <w:t>。</w:t>
      </w:r>
    </w:p>
    <w:p w14:paraId="38F25288">
      <w:pPr>
        <w:pStyle w:val="65"/>
        <w:spacing w:before="120" w:after="120"/>
      </w:pPr>
      <w:bookmarkStart w:id="137" w:name="_Toc219754391"/>
      <w:r>
        <w:rPr>
          <w:rFonts w:hint="eastAsia"/>
        </w:rPr>
        <w:t>原辅材料、能源运输阶段</w:t>
      </w:r>
      <w:bookmarkEnd w:id="137"/>
    </w:p>
    <w:p w14:paraId="4354EAA5">
      <w:pPr>
        <w:pStyle w:val="113"/>
        <w:rPr>
          <w:rFonts w:hint="eastAsia"/>
        </w:rPr>
      </w:pPr>
      <w:r>
        <w:rPr>
          <w:rFonts w:hint="eastAsia"/>
        </w:rPr>
        <w:tab/>
      </w:r>
      <m:oMath>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运输</m:t>
            </m:r>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AD</m:t>
            </m:r>
            <m:ctrlPr>
              <w:rPr>
                <w:rFonts w:ascii="Cambria Math" w:hAnsi="Cambria Math"/>
                <w:i/>
              </w:rPr>
            </m:ctrlPr>
          </m:e>
          <m:sub>
            <m:r>
              <m:rPr/>
              <w:rPr>
                <w:rFonts w:ascii="Cambria Math" w:hAnsi="Cambria Math"/>
              </w:rPr>
              <m:t>k,p</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k,p</m:t>
            </m:r>
            <m:ctrlPr>
              <w:rPr>
                <w:rFonts w:ascii="Cambria Math" w:hAnsi="Cambria Math"/>
                <w:i/>
              </w:rPr>
            </m:ctrlPr>
          </m:sub>
        </m:sSub>
        <m:r>
          <m:rPr/>
          <w:rPr>
            <w:rFonts w:ascii="Cambria Math" w:hAnsi="Cambria Math"/>
          </w:rPr>
          <m:t>×T</m:t>
        </m:r>
        <m:sSub>
          <m:sSubPr>
            <m:ctrlPr>
              <w:rPr>
                <w:rFonts w:ascii="Cambria Math" w:hAnsi="Cambria Math"/>
                <w:i/>
              </w:rPr>
            </m:ctrlPr>
          </m:sSubPr>
          <m:e>
            <m:r>
              <m:rPr/>
              <w:rPr>
                <w:rFonts w:ascii="Cambria Math" w:hAnsi="Cambria Math"/>
              </w:rPr>
              <m:t>EF</m:t>
            </m:r>
            <m:ctrlPr>
              <w:rPr>
                <w:rFonts w:ascii="Cambria Math" w:hAnsi="Cambria Math"/>
                <w:i/>
              </w:rPr>
            </m:ctrlPr>
          </m:e>
          <m:sub>
            <m:r>
              <m:rPr/>
              <w:rPr>
                <w:rFonts w:hint="eastAsia" w:ascii="Cambria Math" w:hAnsi="Cambria Math"/>
              </w:rPr>
              <m:t>k</m:t>
            </m:r>
            <m:r>
              <m:rPr/>
              <w:rPr>
                <w:rFonts w:ascii="Cambria Math" w:hAnsi="Cambria Math"/>
              </w:rPr>
              <m:t>,p,i</m:t>
            </m:r>
            <m:ctrlPr>
              <w:rPr>
                <w:rFonts w:ascii="Cambria Math" w:hAnsi="Cambria Math"/>
                <w:i/>
              </w:rPr>
            </m:ctrlPr>
          </m:sub>
        </m:sSub>
      </m:oMath>
      <w:r>
        <w:rPr>
          <w:rFonts w:hint="eastAsia" w:ascii="微软雅黑" w:hAnsi="微软雅黑" w:eastAsia="微软雅黑"/>
        </w:rPr>
        <w:tab/>
      </w:r>
      <w:r>
        <w:t>(</w:t>
      </w:r>
      <w:r>
        <w:fldChar w:fldCharType="begin"/>
      </w:r>
      <w:r>
        <w:instrText xml:space="preserve"> AUTONUM </w:instrText>
      </w:r>
      <w:r>
        <w:fldChar w:fldCharType="end"/>
      </w:r>
      <w:r>
        <w:t>)</w:t>
      </w:r>
    </w:p>
    <w:p w14:paraId="2BBAA179">
      <w:pPr>
        <w:pStyle w:val="55"/>
        <w:ind w:firstLine="420"/>
      </w:pPr>
      <w:r>
        <w:rPr>
          <w:rFonts w:hint="eastAsia"/>
        </w:rPr>
        <w:t>式中：</w:t>
      </w:r>
    </w:p>
    <w:p w14:paraId="31D15728">
      <w:pPr>
        <w:pStyle w:val="56"/>
        <w:ind w:left="1575" w:leftChars="200" w:hanging="1155" w:hangingChars="550"/>
      </w:pPr>
      <m:oMath>
        <m:sSub>
          <m:sSubPr>
            <m:ctrlPr>
              <w:rPr>
                <w:rFonts w:ascii="Cambria Math" w:hAnsi="Cambria Math"/>
                <w:i/>
                <w:kern w:val="2"/>
                <w:szCs w:val="21"/>
              </w:rPr>
            </m:ctrlPr>
          </m:sSubPr>
          <m:e>
            <m:r>
              <m:rPr/>
              <w:rPr>
                <w:rFonts w:ascii="Cambria Math" w:hAnsi="Cambria Math"/>
              </w:rPr>
              <m:t>AD</m:t>
            </m:r>
            <m:ctrlPr>
              <w:rPr>
                <w:rFonts w:ascii="Cambria Math" w:hAnsi="Cambria Math"/>
                <w:i/>
                <w:kern w:val="2"/>
                <w:szCs w:val="21"/>
              </w:rPr>
            </m:ctrlPr>
          </m:e>
          <m:sub>
            <m:r>
              <m:rPr/>
              <w:rPr>
                <w:rFonts w:ascii="Cambria Math" w:hAnsi="Cambria Math"/>
              </w:rPr>
              <m:t>k,p</m:t>
            </m:r>
            <m:ctrlPr>
              <w:rPr>
                <w:rFonts w:ascii="Cambria Math" w:hAnsi="Cambria Math"/>
                <w:i/>
                <w:kern w:val="2"/>
                <w:szCs w:val="21"/>
              </w:rPr>
            </m:ctrlPr>
          </m:sub>
        </m:sSub>
      </m:oMath>
      <w:r>
        <w:rPr>
          <w:rFonts w:hint="eastAsia"/>
          <w:kern w:val="2"/>
          <w:szCs w:val="21"/>
        </w:rPr>
        <w:t xml:space="preserve">  </w:t>
      </w:r>
      <w:r>
        <w:rPr>
          <w:rFonts w:hint="eastAsia"/>
        </w:rPr>
        <w:t>——核算边界和报告期内每声明单位第p类运输方式第k种原辅材料、能源的消耗量，单位与原辅材料、能源相匹配，如t</w:t>
      </w:r>
      <w:r>
        <w:t>/t</w:t>
      </w:r>
      <w:r>
        <w:rPr>
          <w:rFonts w:hint="eastAsia"/>
        </w:rPr>
        <w:t>EMD；</w:t>
      </w:r>
    </w:p>
    <w:p w14:paraId="470955D9">
      <w:pPr>
        <w:pStyle w:val="56"/>
        <w:ind w:left="1575" w:leftChars="200" w:hanging="1155" w:hangingChars="550"/>
      </w:pPr>
      <m:oMath>
        <m:sSub>
          <m:sSubPr>
            <m:ctrlPr>
              <w:rPr>
                <w:rFonts w:ascii="Cambria Math" w:hAnsi="Cambria Math"/>
                <w:i/>
                <w:kern w:val="2"/>
                <w:szCs w:val="21"/>
              </w:rPr>
            </m:ctrlPr>
          </m:sSubPr>
          <m:e>
            <m:r>
              <m:rPr/>
              <w:rPr>
                <w:rFonts w:ascii="Cambria Math" w:hAnsi="Cambria Math"/>
              </w:rPr>
              <m:t>D</m:t>
            </m:r>
            <m:ctrlPr>
              <w:rPr>
                <w:rFonts w:ascii="Cambria Math" w:hAnsi="Cambria Math"/>
                <w:i/>
                <w:kern w:val="2"/>
                <w:szCs w:val="21"/>
              </w:rPr>
            </m:ctrlPr>
          </m:e>
          <m:sub>
            <m:r>
              <m:rPr/>
              <w:rPr>
                <w:rFonts w:ascii="Cambria Math" w:hAnsi="Cambria Math"/>
              </w:rPr>
              <m:t>k,p</m:t>
            </m:r>
            <m:ctrlPr>
              <w:rPr>
                <w:rFonts w:ascii="Cambria Math" w:hAnsi="Cambria Math"/>
                <w:i/>
                <w:kern w:val="2"/>
                <w:szCs w:val="21"/>
              </w:rPr>
            </m:ctrlPr>
          </m:sub>
        </m:sSub>
      </m:oMath>
      <w:r>
        <w:rPr>
          <w:rFonts w:hint="eastAsia"/>
          <w:kern w:val="2"/>
          <w:szCs w:val="21"/>
        </w:rPr>
        <w:t xml:space="preserve">   </w:t>
      </w:r>
      <w:r>
        <w:rPr>
          <w:rFonts w:hint="eastAsia"/>
        </w:rPr>
        <w:t>——核算和报告期内每声明单位第k种原辅材料、能源第p类运输方式的加权平均运输距离，单位为千米(km)；</w:t>
      </w:r>
    </w:p>
    <w:p w14:paraId="4C2F4823">
      <w:pPr>
        <w:pStyle w:val="56"/>
        <w:ind w:left="1575" w:leftChars="200" w:hanging="1155" w:hangingChars="550"/>
      </w:pPr>
      <m:oMath>
        <m:r>
          <m:rPr/>
          <w:rPr>
            <w:rFonts w:ascii="Cambria Math" w:hAnsi="Cambria Math"/>
          </w:rPr>
          <m:t>T</m:t>
        </m:r>
        <m:sSub>
          <m:sSubPr>
            <m:ctrlPr>
              <w:rPr>
                <w:rFonts w:ascii="Cambria Math" w:hAnsi="Cambria Math"/>
                <w:i/>
                <w:kern w:val="2"/>
                <w:szCs w:val="21"/>
              </w:rPr>
            </m:ctrlPr>
          </m:sSubPr>
          <m:e>
            <m:r>
              <m:rPr/>
              <w:rPr>
                <w:rFonts w:ascii="Cambria Math" w:hAnsi="Cambria Math"/>
              </w:rPr>
              <m:t>EF</m:t>
            </m:r>
            <m:ctrlPr>
              <w:rPr>
                <w:rFonts w:ascii="Cambria Math" w:hAnsi="Cambria Math"/>
                <w:i/>
                <w:kern w:val="2"/>
                <w:szCs w:val="21"/>
              </w:rPr>
            </m:ctrlPr>
          </m:e>
          <m:sub>
            <m:r>
              <m:rPr/>
              <w:rPr>
                <w:rFonts w:hint="eastAsia" w:ascii="Cambria Math" w:hAnsi="Cambria Math"/>
              </w:rPr>
              <m:t>k</m:t>
            </m:r>
            <m:r>
              <m:rPr/>
              <w:rPr>
                <w:rFonts w:ascii="Cambria Math" w:hAnsi="Cambria Math"/>
              </w:rPr>
              <m:t>,p,i</m:t>
            </m:r>
            <m:ctrlPr>
              <w:rPr>
                <w:rFonts w:ascii="Cambria Math" w:hAnsi="Cambria Math"/>
                <w:i/>
                <w:kern w:val="2"/>
                <w:szCs w:val="21"/>
              </w:rPr>
            </m:ctrlPr>
          </m:sub>
        </m:sSub>
      </m:oMath>
      <w:r>
        <w:rPr>
          <w:rFonts w:hint="eastAsia"/>
          <w:kern w:val="2"/>
          <w:szCs w:val="21"/>
        </w:rPr>
        <w:t xml:space="preserve"> </w:t>
      </w:r>
      <w:r>
        <w:rPr>
          <w:rFonts w:hint="eastAsia"/>
        </w:rPr>
        <w:t>——第k种原辅材料、能源第p类运输方式的第i种温室气体排放因子，单位为</w:t>
      </w:r>
      <w:r>
        <w:t>t</w:t>
      </w:r>
      <w:r>
        <w:rPr>
          <w:rFonts w:hint="eastAsia"/>
        </w:rPr>
        <w:t>GHG</w:t>
      </w:r>
      <w:r>
        <w:t>/</w:t>
      </w:r>
      <w:r>
        <w:rPr>
          <w:rFonts w:hint="eastAsia"/>
        </w:rPr>
        <w:t>(</w:t>
      </w:r>
      <w:r>
        <w:t>t·km</w:t>
      </w:r>
      <w:r>
        <w:rPr>
          <w:rFonts w:hint="eastAsia"/>
        </w:rPr>
        <w:t>)</w:t>
      </w:r>
      <w:r>
        <w:t>，参见附录</w:t>
      </w:r>
      <w:r>
        <w:rPr>
          <w:rFonts w:hint="eastAsia"/>
        </w:rPr>
        <w:t>E</w:t>
      </w:r>
      <w:r>
        <w:t>中表</w:t>
      </w:r>
      <w:r>
        <w:rPr>
          <w:rFonts w:hint="eastAsia"/>
        </w:rPr>
        <w:t>E</w:t>
      </w:r>
      <w:r>
        <w:t>.</w:t>
      </w:r>
      <w:r>
        <w:rPr>
          <w:rFonts w:hint="eastAsia"/>
        </w:rPr>
        <w:t>1。</w:t>
      </w:r>
    </w:p>
    <w:p w14:paraId="4CEF4C8B">
      <w:pPr>
        <w:pStyle w:val="65"/>
        <w:spacing w:before="120" w:after="120"/>
      </w:pPr>
      <w:bookmarkStart w:id="138" w:name="_Toc219754392"/>
      <w:r>
        <w:rPr>
          <w:rFonts w:hint="eastAsia"/>
        </w:rPr>
        <w:t>生产阶段</w:t>
      </w:r>
      <w:bookmarkEnd w:id="138"/>
    </w:p>
    <w:p w14:paraId="13584492">
      <w:pPr>
        <w:pStyle w:val="56"/>
        <w:ind w:firstLine="420"/>
        <w:rPr>
          <w:kern w:val="2"/>
          <w:szCs w:val="21"/>
        </w:rPr>
      </w:pPr>
      <w:r>
        <w:rPr>
          <w:rFonts w:hint="eastAsia"/>
        </w:rPr>
        <w:t>生产阶段的温室气体排放量等于核算边界内所有的燃料燃烧排放量、过程碳排放量之和，按式</w:t>
      </w:r>
      <w:r>
        <w:rPr>
          <w:rFonts w:hint="eastAsia" w:cs="Calibri"/>
        </w:rPr>
        <w:t>(5)</w:t>
      </w:r>
      <w:r>
        <w:rPr>
          <w:rFonts w:hint="eastAsia"/>
        </w:rPr>
        <w:t>计算：</w:t>
      </w:r>
    </w:p>
    <w:p w14:paraId="3C4B40DF">
      <w:pPr>
        <w:pStyle w:val="113"/>
        <w:rPr>
          <w:rFonts w:hint="eastAsia"/>
        </w:rPr>
      </w:pPr>
      <w:r>
        <w:rPr>
          <w:rFonts w:hint="eastAsia"/>
        </w:rPr>
        <w:tab/>
      </w:r>
      <m:oMath>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制造</m:t>
            </m:r>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燃烧</m:t>
            </m:r>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过程</m:t>
            </m:r>
            <m:r>
              <m:rPr/>
              <w:rPr>
                <w:rFonts w:ascii="Cambria Math" w:hAnsi="Cambria Math"/>
              </w:rPr>
              <m:t>,i</m:t>
            </m:r>
            <m:ctrlPr>
              <w:rPr>
                <w:rFonts w:ascii="Cambria Math" w:hAnsi="Cambria Math"/>
                <w:i/>
              </w:rPr>
            </m:ctrlPr>
          </m:sub>
        </m:sSub>
      </m:oMath>
      <w:r>
        <w:rPr>
          <w:rFonts w:hint="eastAsia" w:ascii="微软雅黑" w:hAnsi="微软雅黑" w:eastAsia="微软雅黑"/>
        </w:rPr>
        <w:tab/>
      </w:r>
      <w:r>
        <w:t>(</w:t>
      </w:r>
      <w:r>
        <w:fldChar w:fldCharType="begin"/>
      </w:r>
      <w:r>
        <w:instrText xml:space="preserve"> AUTONUM </w:instrText>
      </w:r>
      <w:r>
        <w:fldChar w:fldCharType="end"/>
      </w:r>
      <w:r>
        <w:t>)</w:t>
      </w:r>
    </w:p>
    <w:p w14:paraId="2E048ED1">
      <w:pPr>
        <w:pStyle w:val="55"/>
        <w:ind w:firstLine="420"/>
      </w:pPr>
      <w:r>
        <w:rPr>
          <w:rFonts w:hint="eastAsia"/>
        </w:rPr>
        <w:t>式中：</w:t>
      </w:r>
    </w:p>
    <w:p w14:paraId="7FE7BFAA">
      <w:pPr>
        <w:pStyle w:val="56"/>
        <w:ind w:left="1680" w:leftChars="200" w:hanging="1260" w:hangingChars="600"/>
      </w:pPr>
      <m:oMath>
        <m:sSub>
          <m:sSubPr>
            <m:ctrlPr>
              <w:rPr>
                <w:rFonts w:ascii="Cambria Math" w:hAnsi="Cambria Math"/>
                <w:i/>
                <w:kern w:val="2"/>
                <w:szCs w:val="21"/>
              </w:rPr>
            </m:ctrlPr>
          </m:sSubPr>
          <m:e>
            <m:r>
              <m:rPr/>
              <w:rPr>
                <w:rFonts w:ascii="Cambria Math" w:hAnsi="Cambria Math"/>
              </w:rPr>
              <m:t>CFP</m:t>
            </m:r>
            <m:ctrlPr>
              <w:rPr>
                <w:rFonts w:ascii="Cambria Math" w:hAnsi="Cambria Math"/>
                <w:i/>
                <w:kern w:val="2"/>
                <w:szCs w:val="21"/>
              </w:rPr>
            </m:ctrlPr>
          </m:e>
          <m:sub>
            <m:r>
              <m:rPr/>
              <w:rPr>
                <w:rFonts w:hint="eastAsia" w:ascii="Cambria Math" w:hAnsi="Cambria Math"/>
              </w:rPr>
              <m:t>燃烧</m:t>
            </m:r>
            <m:r>
              <m:rPr/>
              <w:rPr>
                <w:rFonts w:ascii="Cambria Math" w:hAnsi="Cambria Math"/>
              </w:rPr>
              <m:t>,i</m:t>
            </m:r>
            <m:ctrlPr>
              <w:rPr>
                <w:rFonts w:ascii="Cambria Math" w:hAnsi="Cambria Math"/>
                <w:i/>
                <w:kern w:val="2"/>
                <w:szCs w:val="21"/>
              </w:rPr>
            </m:ctrlPr>
          </m:sub>
        </m:sSub>
      </m:oMath>
      <w:r>
        <w:rPr>
          <w:rFonts w:hint="eastAsia"/>
        </w:rPr>
        <w:t>——核算边界和报告期内每声明单位消耗化石能源燃烧产生的第i种温室气体排放量，单位为</w:t>
      </w:r>
      <w:r>
        <w:t>t</w:t>
      </w:r>
      <w:r>
        <w:rPr>
          <w:rFonts w:hint="eastAsia"/>
        </w:rPr>
        <w:t>GHG</w:t>
      </w:r>
      <w:r>
        <w:t>/t</w:t>
      </w:r>
      <w:r>
        <w:rPr>
          <w:rFonts w:hint="eastAsia"/>
        </w:rPr>
        <w:t>EMD，按照式（6）计算；</w:t>
      </w:r>
    </w:p>
    <w:p w14:paraId="78B0D17E">
      <w:pPr>
        <w:pStyle w:val="56"/>
        <w:ind w:left="1680" w:leftChars="200" w:hanging="1260" w:hangingChars="600"/>
      </w:pPr>
      <m:oMath>
        <m:sSub>
          <m:sSubPr>
            <m:ctrlPr>
              <w:rPr>
                <w:rFonts w:ascii="Cambria Math" w:hAnsi="Cambria Math"/>
                <w:i/>
                <w:kern w:val="2"/>
                <w:szCs w:val="21"/>
              </w:rPr>
            </m:ctrlPr>
          </m:sSubPr>
          <m:e>
            <m:r>
              <m:rPr/>
              <w:rPr>
                <w:rFonts w:ascii="Cambria Math" w:hAnsi="Cambria Math"/>
              </w:rPr>
              <m:t>CFP</m:t>
            </m:r>
            <m:ctrlPr>
              <w:rPr>
                <w:rFonts w:ascii="Cambria Math" w:hAnsi="Cambria Math"/>
                <w:i/>
                <w:kern w:val="2"/>
                <w:szCs w:val="21"/>
              </w:rPr>
            </m:ctrlPr>
          </m:e>
          <m:sub>
            <m:r>
              <m:rPr/>
              <w:rPr>
                <w:rFonts w:hint="eastAsia" w:ascii="Cambria Math" w:hAnsi="Cambria Math"/>
              </w:rPr>
              <m:t>过程</m:t>
            </m:r>
            <m:r>
              <m:rPr/>
              <w:rPr>
                <w:rFonts w:ascii="Cambria Math" w:hAnsi="Cambria Math"/>
              </w:rPr>
              <m:t>,i</m:t>
            </m:r>
            <m:ctrlPr>
              <w:rPr>
                <w:rFonts w:ascii="Cambria Math" w:hAnsi="Cambria Math"/>
                <w:i/>
                <w:kern w:val="2"/>
                <w:szCs w:val="21"/>
              </w:rPr>
            </m:ctrlPr>
          </m:sub>
        </m:sSub>
      </m:oMath>
      <w:r>
        <w:rPr>
          <w:rFonts w:hint="eastAsia"/>
        </w:rPr>
        <w:t>——核算边界和报告期内每声明单位生产过程中含碳还原剂氧化、碳酸盐分解产生的第</w:t>
      </w:r>
      <w:r>
        <w:t>I</w:t>
      </w:r>
      <w:r>
        <w:rPr>
          <w:rFonts w:hint="eastAsia"/>
        </w:rPr>
        <w:t xml:space="preserve"> 种温室气体排放量，单位为tGHG</w:t>
      </w:r>
      <w:r>
        <w:t>/t</w:t>
      </w:r>
      <w:r>
        <w:rPr>
          <w:rFonts w:hint="eastAsia"/>
        </w:rPr>
        <w:t>EMD，按照式（7）计算。</w:t>
      </w:r>
    </w:p>
    <w:p w14:paraId="3261CEFA">
      <w:pPr>
        <w:pStyle w:val="113"/>
        <w:rPr>
          <w:rFonts w:hint="eastAsia"/>
        </w:rPr>
      </w:pPr>
      <w:r>
        <w:rPr>
          <w:rFonts w:hint="eastAsia"/>
        </w:rPr>
        <w:tab/>
      </w:r>
      <m:oMath>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燃烧</m:t>
            </m:r>
            <m:r>
              <m:rPr/>
              <w:rPr>
                <w:rFonts w:ascii="Cambria Math" w:hAnsi="Cambria Math"/>
              </w:rPr>
              <m:t>,i</m:t>
            </m:r>
            <m:ctrlPr>
              <w:rPr>
                <w:rFonts w:ascii="Cambria Math" w:hAnsi="Cambria Math"/>
                <w:i/>
              </w:rPr>
            </m:ctrlPr>
          </m:sub>
        </m:sSub>
        <m:r>
          <m:rPr/>
          <w:rPr>
            <w:rFonts w:ascii="Cambria Math" w:hAnsi="Cambria Math"/>
          </w:rPr>
          <m:t>=</m:t>
        </m:r>
        <m:nary>
          <m:naryPr>
            <m:chr m:val="∑"/>
            <m:limLoc m:val="undOvr"/>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AD</m:t>
                </m:r>
                <m:ctrlPr>
                  <w:rPr>
                    <w:rFonts w:ascii="Cambria Math" w:hAnsi="Cambria Math"/>
                    <w:i/>
                  </w:rPr>
                </m:ctrlPr>
              </m:e>
              <m:sub>
                <m:r>
                  <m:rPr/>
                  <w:rPr>
                    <w:rFonts w:hint="eastAsia" w:ascii="Cambria Math" w:hAnsi="Cambria Math"/>
                  </w:rPr>
                  <m: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NCV</m:t>
                </m:r>
                <m:ctrlPr>
                  <w:rPr>
                    <w:rFonts w:ascii="Cambria Math" w:hAnsi="Cambria Math"/>
                    <w:i/>
                  </w:rPr>
                </m:ctrlPr>
              </m:e>
              <m:sub>
                <m:r>
                  <m:rPr/>
                  <w:rPr>
                    <w:rFonts w:hint="eastAsia" w:ascii="Cambria Math" w:hAnsi="Cambria Math"/>
                  </w:rPr>
                  <m: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EF</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OF</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44</m:t>
                </m:r>
                <m:ctrlPr>
                  <w:rPr>
                    <w:rFonts w:ascii="Cambria Math" w:hAnsi="Cambria Math"/>
                    <w:i/>
                  </w:rPr>
                </m:ctrlPr>
              </m:num>
              <m:den>
                <m:r>
                  <m:rPr/>
                  <w:rPr>
                    <w:rFonts w:ascii="Cambria Math" w:hAnsi="Cambria Math"/>
                  </w:rPr>
                  <m:t>12</m:t>
                </m:r>
                <m:ctrlPr>
                  <w:rPr>
                    <w:rFonts w:ascii="Cambria Math" w:hAnsi="Cambria Math"/>
                    <w:i/>
                  </w:rPr>
                </m:ctrlPr>
              </m:den>
            </m:f>
            <m:r>
              <m:rPr/>
              <w:rPr>
                <w:rFonts w:ascii="Cambria Math" w:hAnsi="Cambria Math"/>
              </w:rPr>
              <m:t>)</m:t>
            </m:r>
            <m:ctrlPr>
              <w:rPr>
                <w:rFonts w:ascii="Cambria Math" w:hAnsi="Cambria Math"/>
                <w:i/>
              </w:rPr>
            </m:ctrlPr>
          </m:e>
        </m:nary>
      </m:oMath>
      <w:r>
        <w:rPr>
          <w:rFonts w:hint="eastAsia" w:ascii="微软雅黑" w:hAnsi="微软雅黑" w:eastAsia="微软雅黑"/>
        </w:rPr>
        <w:tab/>
      </w:r>
      <w:r>
        <w:t>(</w:t>
      </w:r>
      <w:r>
        <w:fldChar w:fldCharType="begin"/>
      </w:r>
      <w:r>
        <w:instrText xml:space="preserve"> AUTONUM </w:instrText>
      </w:r>
      <w:r>
        <w:fldChar w:fldCharType="end"/>
      </w:r>
      <w:r>
        <w:t>)</w:t>
      </w:r>
    </w:p>
    <w:p w14:paraId="6D4E1E91">
      <w:pPr>
        <w:pStyle w:val="55"/>
        <w:ind w:firstLine="420"/>
      </w:pPr>
      <w:r>
        <w:rPr>
          <w:rFonts w:hint="eastAsia"/>
        </w:rPr>
        <w:t>式中：</w:t>
      </w:r>
    </w:p>
    <w:p w14:paraId="68F78108">
      <w:pPr>
        <w:pStyle w:val="56"/>
        <w:ind w:left="1260" w:leftChars="200" w:hanging="840" w:hangingChars="400"/>
      </w:pPr>
      <m:oMath>
        <m:sSub>
          <m:sSubPr>
            <m:ctrlPr>
              <w:rPr>
                <w:rFonts w:ascii="Cambria Math" w:hAnsi="Cambria Math"/>
                <w:i/>
                <w:kern w:val="2"/>
                <w:szCs w:val="21"/>
              </w:rPr>
            </m:ctrlPr>
          </m:sSubPr>
          <m:e>
            <m:r>
              <m:rPr/>
              <w:rPr>
                <w:rFonts w:ascii="Cambria Math" w:hAnsi="Cambria Math"/>
              </w:rPr>
              <m:t>AD</m:t>
            </m:r>
            <m:ctrlPr>
              <w:rPr>
                <w:rFonts w:ascii="Cambria Math" w:hAnsi="Cambria Math"/>
                <w:i/>
                <w:kern w:val="2"/>
                <w:szCs w:val="21"/>
              </w:rPr>
            </m:ctrlPr>
          </m:e>
          <m:sub>
            <m:r>
              <m:rPr/>
              <w:rPr>
                <w:rFonts w:hint="eastAsia" w:ascii="Cambria Math" w:hAnsi="Cambria Math"/>
              </w:rPr>
              <m:t>j</m:t>
            </m:r>
            <m:ctrlPr>
              <w:rPr>
                <w:rFonts w:ascii="Cambria Math" w:hAnsi="Cambria Math"/>
                <w:i/>
                <w:kern w:val="2"/>
                <w:szCs w:val="21"/>
              </w:rPr>
            </m:ctrlPr>
          </m:sub>
        </m:sSub>
      </m:oMath>
      <w:r>
        <w:rPr>
          <w:rFonts w:hint="eastAsia"/>
          <w:kern w:val="2"/>
          <w:szCs w:val="21"/>
        </w:rPr>
        <w:t xml:space="preserve"> </w:t>
      </w:r>
      <w:r>
        <w:t>——</w:t>
      </w:r>
      <w:r>
        <w:rPr>
          <w:rFonts w:hint="eastAsia"/>
        </w:rPr>
        <w:t>每声明单位生产过程第</w:t>
      </w:r>
      <w:r>
        <w:t>j</w:t>
      </w:r>
      <w:r>
        <w:rPr>
          <w:rFonts w:hint="eastAsia"/>
        </w:rPr>
        <w:t>种燃料的消耗量，对固体或液体燃料，单位为</w:t>
      </w:r>
      <w:r>
        <w:t>t/tEMD</w:t>
      </w:r>
      <w:r>
        <w:rPr>
          <w:rFonts w:hint="eastAsia"/>
        </w:rPr>
        <w:t>；对气体燃料，单位为</w:t>
      </w:r>
      <w:r>
        <w:t>10⁴Nm³/tEMD</w:t>
      </w:r>
      <w:r>
        <w:rPr>
          <w:rFonts w:hint="eastAsia"/>
        </w:rPr>
        <w:t>；</w:t>
      </w:r>
    </w:p>
    <w:p w14:paraId="7A1E0085">
      <w:pPr>
        <w:pStyle w:val="56"/>
        <w:ind w:left="1260" w:leftChars="200" w:hanging="840" w:hangingChars="400"/>
      </w:pPr>
      <m:oMath>
        <m:sSub>
          <m:sSubPr>
            <m:ctrlPr>
              <w:rPr>
                <w:rFonts w:ascii="Cambria Math" w:hAnsi="Cambria Math"/>
                <w:i/>
                <w:kern w:val="2"/>
                <w:szCs w:val="21"/>
              </w:rPr>
            </m:ctrlPr>
          </m:sSubPr>
          <m:e>
            <m:r>
              <m:rPr/>
              <w:rPr>
                <w:rFonts w:ascii="Cambria Math" w:hAnsi="Cambria Math"/>
              </w:rPr>
              <m:t>NCV</m:t>
            </m:r>
            <m:ctrlPr>
              <w:rPr>
                <w:rFonts w:ascii="Cambria Math" w:hAnsi="Cambria Math"/>
                <w:i/>
                <w:kern w:val="2"/>
                <w:szCs w:val="21"/>
              </w:rPr>
            </m:ctrlPr>
          </m:e>
          <m:sub>
            <m:r>
              <m:rPr/>
              <w:rPr>
                <w:rFonts w:hint="eastAsia" w:ascii="Cambria Math" w:hAnsi="Cambria Math"/>
              </w:rPr>
              <m:t>j</m:t>
            </m:r>
            <m:ctrlPr>
              <w:rPr>
                <w:rFonts w:ascii="Cambria Math" w:hAnsi="Cambria Math"/>
                <w:i/>
                <w:kern w:val="2"/>
                <w:szCs w:val="21"/>
              </w:rPr>
            </m:ctrlPr>
          </m:sub>
        </m:sSub>
      </m:oMath>
      <w:r>
        <w:rPr>
          <w:rFonts w:hint="eastAsia"/>
        </w:rPr>
        <w:t>——化石燃料品种j的低位发热量，对于固体和液体燃料，单位为吉焦每吨(GJ/t)；对于气体燃料，单位为吉焦每万标立方米(GJ/10</w:t>
      </w:r>
      <w:r>
        <w:rPr>
          <w:rFonts w:hint="eastAsia"/>
          <w:vertAlign w:val="superscript"/>
        </w:rPr>
        <w:t>4</w:t>
      </w:r>
      <w:r>
        <w:rPr>
          <w:rFonts w:hint="eastAsia"/>
        </w:rPr>
        <w:t>Nm)，参见附录E中表E.2；</w:t>
      </w:r>
    </w:p>
    <w:p w14:paraId="6C06EEBE">
      <w:pPr>
        <w:pStyle w:val="56"/>
        <w:ind w:left="1680" w:leftChars="200" w:hanging="1260" w:hangingChars="600"/>
      </w:pPr>
      <m:oMath>
        <m:sSub>
          <m:sSubPr>
            <m:ctrlPr>
              <w:rPr>
                <w:rFonts w:ascii="Cambria Math" w:hAnsi="Cambria Math"/>
                <w:i/>
                <w:kern w:val="2"/>
                <w:szCs w:val="21"/>
              </w:rPr>
            </m:ctrlPr>
          </m:sSubPr>
          <m:e>
            <m:r>
              <m:rPr/>
              <w:rPr>
                <w:rFonts w:ascii="Cambria Math" w:hAnsi="Cambria Math"/>
              </w:rPr>
              <m:t>EF</m:t>
            </m:r>
            <m:ctrlPr>
              <w:rPr>
                <w:rFonts w:ascii="Cambria Math" w:hAnsi="Cambria Math"/>
                <w:i/>
                <w:kern w:val="2"/>
                <w:szCs w:val="21"/>
              </w:rPr>
            </m:ctrlPr>
          </m:e>
          <m:sub>
            <m:r>
              <m:rPr/>
              <w:rPr>
                <w:rFonts w:ascii="Cambria Math" w:hAnsi="Cambria Math"/>
              </w:rPr>
              <m:t>j</m:t>
            </m:r>
            <m:ctrlPr>
              <w:rPr>
                <w:rFonts w:ascii="Cambria Math" w:hAnsi="Cambria Math"/>
                <w:i/>
                <w:kern w:val="2"/>
                <w:szCs w:val="21"/>
              </w:rPr>
            </m:ctrlPr>
          </m:sub>
        </m:sSub>
      </m:oMath>
      <w:r>
        <w:rPr>
          <w:rFonts w:hint="eastAsia"/>
          <w:kern w:val="2"/>
          <w:szCs w:val="21"/>
        </w:rPr>
        <w:t xml:space="preserve"> </w:t>
      </w:r>
      <w:r>
        <w:rPr>
          <w:rFonts w:hint="eastAsia"/>
        </w:rPr>
        <w:t>——化石燃料品种j的单位热值含碳量，以吨碳每吉焦(tC/GJ)计，参见附录E中表E.2；</w:t>
      </w:r>
    </w:p>
    <w:p w14:paraId="6101D5C0">
      <w:pPr>
        <w:pStyle w:val="56"/>
        <w:ind w:left="1680" w:leftChars="200" w:hanging="1260" w:hangingChars="600"/>
      </w:pPr>
      <m:oMath>
        <m:sSub>
          <m:sSubPr>
            <m:ctrlPr>
              <w:rPr>
                <w:rFonts w:ascii="Cambria Math" w:hAnsi="Cambria Math"/>
                <w:i/>
                <w:kern w:val="2"/>
                <w:szCs w:val="21"/>
              </w:rPr>
            </m:ctrlPr>
          </m:sSubPr>
          <m:e>
            <m:r>
              <m:rPr/>
              <w:rPr>
                <w:rFonts w:ascii="Cambria Math" w:hAnsi="Cambria Math"/>
              </w:rPr>
              <m:t>OF</m:t>
            </m:r>
            <m:ctrlPr>
              <w:rPr>
                <w:rFonts w:ascii="Cambria Math" w:hAnsi="Cambria Math"/>
                <w:i/>
                <w:kern w:val="2"/>
                <w:szCs w:val="21"/>
              </w:rPr>
            </m:ctrlPr>
          </m:e>
          <m:sub>
            <m:r>
              <m:rPr/>
              <w:rPr>
                <w:rFonts w:ascii="Cambria Math" w:hAnsi="Cambria Math"/>
              </w:rPr>
              <m:t>j</m:t>
            </m:r>
            <m:ctrlPr>
              <w:rPr>
                <w:rFonts w:ascii="Cambria Math" w:hAnsi="Cambria Math"/>
                <w:i/>
                <w:kern w:val="2"/>
                <w:szCs w:val="21"/>
              </w:rPr>
            </m:ctrlPr>
          </m:sub>
        </m:sSub>
      </m:oMath>
      <w:r>
        <w:rPr>
          <w:rFonts w:hint="eastAsia"/>
          <w:kern w:val="2"/>
          <w:szCs w:val="21"/>
        </w:rPr>
        <w:t xml:space="preserve"> </w:t>
      </w:r>
      <w:r>
        <w:rPr>
          <w:rFonts w:hint="eastAsia"/>
        </w:rPr>
        <w:t>——第j种燃料的碳氧化率，单位为百分比(%)，参见附录E中表E.2。</w:t>
      </w:r>
    </w:p>
    <w:p w14:paraId="1E7201CA">
      <w:pPr>
        <w:pStyle w:val="113"/>
        <w:rPr>
          <w:rFonts w:hint="eastAsia"/>
        </w:rPr>
      </w:pPr>
      <w:r>
        <w:rPr>
          <w:rFonts w:hint="eastAsia"/>
        </w:rPr>
        <w:tab/>
      </w:r>
      <m:oMath>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过程</m:t>
            </m:r>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碳酸盐</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还原剂</m:t>
            </m:r>
            <m:ctrlPr>
              <w:rPr>
                <w:rFonts w:ascii="Cambria Math" w:hAnsi="Cambria Math"/>
                <w:i/>
              </w:rPr>
            </m:ctrlPr>
          </m:sub>
        </m:sSub>
      </m:oMath>
      <w:r>
        <w:rPr>
          <w:rFonts w:hint="eastAsia" w:ascii="微软雅黑" w:hAnsi="微软雅黑" w:eastAsia="微软雅黑"/>
        </w:rPr>
        <w:tab/>
      </w:r>
      <w:r>
        <w:t>(</w:t>
      </w:r>
      <w:r>
        <w:fldChar w:fldCharType="begin"/>
      </w:r>
      <w:r>
        <w:instrText xml:space="preserve"> AUTONUM </w:instrText>
      </w:r>
      <w:r>
        <w:fldChar w:fldCharType="end"/>
      </w:r>
      <w:r>
        <w:t>)</w:t>
      </w:r>
    </w:p>
    <w:p w14:paraId="16BB7076">
      <w:pPr>
        <w:pStyle w:val="55"/>
        <w:ind w:firstLine="420"/>
        <w:rPr>
          <w:color w:val="auto"/>
        </w:rPr>
      </w:pPr>
      <w:r>
        <w:rPr>
          <w:rFonts w:hint="eastAsia"/>
          <w:color w:val="auto"/>
        </w:rPr>
        <w:t>式中：</w:t>
      </w:r>
    </w:p>
    <w:p w14:paraId="2FD61CAF">
      <w:pPr>
        <w:pStyle w:val="56"/>
        <w:ind w:left="1680" w:leftChars="200" w:hanging="1260" w:hangingChars="600"/>
        <w:rPr>
          <w:color w:val="auto"/>
        </w:rPr>
      </w:pPr>
      <m:oMath>
        <m:sSub>
          <m:sSubPr>
            <m:ctrlPr>
              <w:rPr>
                <w:rFonts w:ascii="Cambria Math" w:hAnsi="Cambria Math"/>
                <w:i/>
                <w:color w:val="auto"/>
                <w:kern w:val="2"/>
                <w:szCs w:val="21"/>
              </w:rPr>
            </m:ctrlPr>
          </m:sSubPr>
          <m:e>
            <m:r>
              <m:rPr/>
              <w:rPr>
                <w:rFonts w:ascii="Cambria Math" w:hAnsi="Cambria Math"/>
                <w:color w:val="auto"/>
              </w:rPr>
              <m:t>CFP</m:t>
            </m:r>
            <m:ctrlPr>
              <w:rPr>
                <w:rFonts w:ascii="Cambria Math" w:hAnsi="Cambria Math"/>
                <w:i/>
                <w:color w:val="auto"/>
                <w:kern w:val="2"/>
                <w:szCs w:val="21"/>
              </w:rPr>
            </m:ctrlPr>
          </m:e>
          <m:sub>
            <m:r>
              <m:rPr/>
              <w:rPr>
                <w:rFonts w:hint="eastAsia" w:ascii="Cambria Math" w:hAnsi="Cambria Math"/>
                <w:color w:val="auto"/>
              </w:rPr>
              <m:t>碳酸盐</m:t>
            </m:r>
            <m:ctrlPr>
              <w:rPr>
                <w:rFonts w:ascii="Cambria Math" w:hAnsi="Cambria Math"/>
                <w:i/>
                <w:color w:val="auto"/>
                <w:kern w:val="2"/>
                <w:szCs w:val="21"/>
              </w:rPr>
            </m:ctrlPr>
          </m:sub>
        </m:sSub>
      </m:oMath>
      <w:r>
        <w:rPr>
          <w:color w:val="auto"/>
        </w:rPr>
        <w:t>——</w:t>
      </w:r>
      <w:r>
        <w:rPr>
          <w:rFonts w:hint="eastAsia"/>
          <w:color w:val="auto"/>
        </w:rPr>
        <w:t>核算边界和报告期内每声明单位消耗碳酸盐原辅料的温室气体排放量，单位为</w:t>
      </w:r>
      <w:r>
        <w:rPr>
          <w:color w:val="auto"/>
        </w:rPr>
        <w:t>t</w:t>
      </w:r>
      <w:r>
        <w:rPr>
          <w:rFonts w:hint="eastAsia"/>
          <w:color w:val="auto"/>
        </w:rPr>
        <w:t>CO</w:t>
      </w:r>
      <w:r>
        <w:rPr>
          <w:rFonts w:hint="eastAsia"/>
          <w:color w:val="auto"/>
          <w:vertAlign w:val="subscript"/>
        </w:rPr>
        <w:t>2</w:t>
      </w:r>
      <w:r>
        <w:rPr>
          <w:rFonts w:hint="eastAsia"/>
          <w:color w:val="auto"/>
        </w:rPr>
        <w:t>/tEMD，按照式（8）计算；</w:t>
      </w:r>
    </w:p>
    <w:p w14:paraId="441739CB">
      <w:pPr>
        <w:pStyle w:val="56"/>
        <w:ind w:left="1680" w:leftChars="200" w:hanging="1260" w:hangingChars="600"/>
        <w:rPr>
          <w:color w:val="auto"/>
        </w:rPr>
      </w:pPr>
      <m:oMath>
        <m:sSub>
          <m:sSubPr>
            <m:ctrlPr>
              <w:rPr>
                <w:rFonts w:ascii="Cambria Math" w:hAnsi="Cambria Math"/>
                <w:i/>
                <w:color w:val="auto"/>
                <w:kern w:val="2"/>
                <w:szCs w:val="21"/>
              </w:rPr>
            </m:ctrlPr>
          </m:sSubPr>
          <m:e>
            <m:r>
              <m:rPr/>
              <w:rPr>
                <w:rFonts w:ascii="Cambria Math" w:hAnsi="Cambria Math"/>
                <w:color w:val="auto"/>
              </w:rPr>
              <m:t>CFP</m:t>
            </m:r>
            <m:ctrlPr>
              <w:rPr>
                <w:rFonts w:ascii="Cambria Math" w:hAnsi="Cambria Math"/>
                <w:i/>
                <w:color w:val="auto"/>
                <w:kern w:val="2"/>
                <w:szCs w:val="21"/>
              </w:rPr>
            </m:ctrlPr>
          </m:e>
          <m:sub>
            <m:r>
              <m:rPr/>
              <w:rPr>
                <w:rFonts w:hint="eastAsia" w:ascii="Cambria Math" w:hAnsi="Cambria Math"/>
                <w:color w:val="auto"/>
              </w:rPr>
              <m:t>还原剂</m:t>
            </m:r>
            <m:ctrlPr>
              <w:rPr>
                <w:rFonts w:ascii="Cambria Math" w:hAnsi="Cambria Math"/>
                <w:i/>
                <w:color w:val="auto"/>
                <w:kern w:val="2"/>
                <w:szCs w:val="21"/>
              </w:rPr>
            </m:ctrlPr>
          </m:sub>
        </m:sSub>
      </m:oMath>
      <w:r>
        <w:rPr>
          <w:color w:val="auto"/>
        </w:rPr>
        <w:t>——核算</w:t>
      </w:r>
      <w:r>
        <w:rPr>
          <w:rFonts w:hint="eastAsia"/>
          <w:color w:val="auto"/>
        </w:rPr>
        <w:t>边界</w:t>
      </w:r>
      <w:r>
        <w:rPr>
          <w:color w:val="auto"/>
        </w:rPr>
        <w:t>和报告期内</w:t>
      </w:r>
      <w:r>
        <w:rPr>
          <w:rFonts w:hint="eastAsia"/>
          <w:color w:val="auto"/>
        </w:rPr>
        <w:t>每声明单位在焙烧单元（如有）消耗含碳还原剂</w:t>
      </w:r>
      <w:r>
        <w:rPr>
          <w:color w:val="auto"/>
        </w:rPr>
        <w:t>的</w:t>
      </w:r>
      <w:r>
        <w:rPr>
          <w:rFonts w:hint="eastAsia"/>
          <w:color w:val="auto"/>
        </w:rPr>
        <w:t>温室气体排放量</w:t>
      </w:r>
      <w:r>
        <w:rPr>
          <w:color w:val="auto"/>
        </w:rPr>
        <w:t>，</w:t>
      </w:r>
      <w:r>
        <w:rPr>
          <w:rFonts w:hint="eastAsia"/>
          <w:color w:val="auto"/>
        </w:rPr>
        <w:t>单位</w:t>
      </w:r>
      <w:r>
        <w:rPr>
          <w:color w:val="auto"/>
        </w:rPr>
        <w:t>为t</w:t>
      </w:r>
      <w:r>
        <w:rPr>
          <w:rFonts w:hint="eastAsia"/>
          <w:color w:val="auto"/>
        </w:rPr>
        <w:t>CO</w:t>
      </w:r>
      <w:r>
        <w:rPr>
          <w:rFonts w:hint="eastAsia"/>
          <w:color w:val="auto"/>
          <w:vertAlign w:val="subscript"/>
        </w:rPr>
        <w:t>2</w:t>
      </w:r>
      <w:r>
        <w:rPr>
          <w:rFonts w:hint="eastAsia"/>
          <w:color w:val="auto"/>
        </w:rPr>
        <w:t>/tEMD，按照式（9）计算。</w:t>
      </w:r>
    </w:p>
    <w:p w14:paraId="4A1100E1">
      <w:pPr>
        <w:pStyle w:val="113"/>
        <w:rPr>
          <w:rFonts w:hint="eastAsia"/>
          <w:color w:val="auto"/>
        </w:rPr>
      </w:pPr>
      <w:r>
        <w:rPr>
          <w:rFonts w:hint="eastAsia"/>
          <w:color w:val="auto"/>
        </w:rPr>
        <w:tab/>
      </w:r>
      <m:oMath>
        <m:sSub>
          <m:sSubPr>
            <m:ctrlPr>
              <w:rPr>
                <w:rFonts w:ascii="Cambria Math" w:hAnsi="Cambria Math"/>
                <w:i/>
                <w:color w:val="auto"/>
              </w:rPr>
            </m:ctrlPr>
          </m:sSubPr>
          <m:e>
            <m:r>
              <m:rPr/>
              <w:rPr>
                <w:rFonts w:ascii="Cambria Math" w:hAnsi="Cambria Math"/>
                <w:color w:val="auto"/>
              </w:rPr>
              <m:t>CFP</m:t>
            </m:r>
            <m:ctrlPr>
              <w:rPr>
                <w:rFonts w:ascii="Cambria Math" w:hAnsi="Cambria Math"/>
                <w:i/>
                <w:color w:val="auto"/>
              </w:rPr>
            </m:ctrlPr>
          </m:e>
          <m:sub>
            <m:r>
              <m:rPr/>
              <w:rPr>
                <w:rFonts w:hint="eastAsia" w:ascii="Cambria Math" w:hAnsi="Cambria Math"/>
                <w:color w:val="auto"/>
              </w:rPr>
              <m:t>碳酸盐</m:t>
            </m:r>
            <m:ctrlPr>
              <w:rPr>
                <w:rFonts w:ascii="Cambria Math" w:hAnsi="Cambria Math"/>
                <w:i/>
                <w:color w:val="auto"/>
              </w:rPr>
            </m:ctrlPr>
          </m:sub>
        </m:sSub>
        <m:r>
          <m:rPr/>
          <w:rPr>
            <w:rFonts w:ascii="Cambria Math" w:hAnsi="Cambria Math"/>
            <w:color w:val="auto"/>
          </w:rPr>
          <m:t>=</m:t>
        </m:r>
        <m:sSub>
          <m:sSubPr>
            <m:ctrlPr>
              <w:rPr>
                <w:rFonts w:ascii="Cambria Math" w:hAnsi="Cambria Math"/>
                <w:i/>
                <w:color w:val="auto"/>
              </w:rPr>
            </m:ctrlPr>
          </m:sSubPr>
          <m:e>
            <m:r>
              <m:rPr/>
              <w:rPr>
                <w:rFonts w:ascii="Cambria Math" w:hAnsi="Cambria Math"/>
                <w:color w:val="auto"/>
              </w:rPr>
              <m:t>P</m:t>
            </m:r>
            <m:ctrlPr>
              <w:rPr>
                <w:rFonts w:ascii="Cambria Math" w:hAnsi="Cambria Math"/>
                <w:i/>
                <w:color w:val="auto"/>
              </w:rPr>
            </m:ctrlPr>
          </m:e>
          <m:sub>
            <m:r>
              <m:rPr/>
              <w:rPr>
                <w:rFonts w:hint="eastAsia" w:ascii="Cambria Math" w:hAnsi="Cambria Math"/>
                <w:color w:val="auto"/>
              </w:rPr>
              <m:t>碳酸盐</m:t>
            </m:r>
            <m:ctrlPr>
              <w:rPr>
                <w:rFonts w:ascii="Cambria Math" w:hAnsi="Cambria Math"/>
                <w:i/>
                <w:color w:val="auto"/>
              </w:rPr>
            </m:ctrlPr>
          </m:sub>
        </m:sSub>
        <m:r>
          <m:rPr/>
          <w:rPr>
            <w:rFonts w:ascii="Cambria Math" w:hAnsi="Cambria Math"/>
            <w:color w:val="auto"/>
          </w:rPr>
          <m:t>×</m:t>
        </m:r>
        <m:sSub>
          <m:sSubPr>
            <m:ctrlPr>
              <w:rPr>
                <w:rFonts w:ascii="Cambria Math" w:hAnsi="Cambria Math"/>
                <w:i/>
                <w:color w:val="auto"/>
              </w:rPr>
            </m:ctrlPr>
          </m:sSubPr>
          <m:e>
            <m:r>
              <m:rPr/>
              <w:rPr>
                <w:rFonts w:ascii="Cambria Math" w:hAnsi="Cambria Math"/>
                <w:color w:val="auto"/>
              </w:rPr>
              <m:t>PUR</m:t>
            </m:r>
            <m:ctrlPr>
              <w:rPr>
                <w:rFonts w:ascii="Cambria Math" w:hAnsi="Cambria Math"/>
                <w:i/>
                <w:color w:val="auto"/>
              </w:rPr>
            </m:ctrlPr>
          </m:e>
          <m:sub>
            <m:r>
              <m:rPr/>
              <w:rPr>
                <w:rFonts w:hint="eastAsia" w:ascii="Cambria Math" w:hAnsi="Cambria Math"/>
                <w:color w:val="auto"/>
              </w:rPr>
              <m:t>碳酸盐</m:t>
            </m:r>
            <m:ctrlPr>
              <w:rPr>
                <w:rFonts w:ascii="Cambria Math" w:hAnsi="Cambria Math"/>
                <w:i/>
                <w:color w:val="auto"/>
              </w:rPr>
            </m:ctrlPr>
          </m:sub>
        </m:sSub>
        <m:r>
          <m:rPr/>
          <w:rPr>
            <w:rFonts w:ascii="Cambria Math" w:hAnsi="Cambria Math"/>
            <w:color w:val="auto"/>
          </w:rPr>
          <m:t>×</m:t>
        </m:r>
        <m:sSub>
          <m:sSubPr>
            <m:ctrlPr>
              <w:rPr>
                <w:rFonts w:ascii="Cambria Math" w:hAnsi="Cambria Math"/>
                <w:i/>
                <w:color w:val="auto"/>
              </w:rPr>
            </m:ctrlPr>
          </m:sSubPr>
          <m:e>
            <m:r>
              <m:rPr/>
              <w:rPr>
                <w:rFonts w:ascii="Cambria Math" w:hAnsi="Cambria Math"/>
                <w:color w:val="auto"/>
              </w:rPr>
              <m:t>EF</m:t>
            </m:r>
            <m:ctrlPr>
              <w:rPr>
                <w:rFonts w:ascii="Cambria Math" w:hAnsi="Cambria Math"/>
                <w:i/>
                <w:color w:val="auto"/>
              </w:rPr>
            </m:ctrlPr>
          </m:e>
          <m:sub>
            <m:r>
              <m:rPr/>
              <w:rPr>
                <w:rFonts w:hint="eastAsia" w:ascii="Cambria Math" w:hAnsi="Cambria Math"/>
                <w:color w:val="auto"/>
              </w:rPr>
              <m:t>碳酸盐</m:t>
            </m:r>
            <m:ctrlPr>
              <w:rPr>
                <w:rFonts w:ascii="Cambria Math" w:hAnsi="Cambria Math"/>
                <w:i/>
                <w:color w:val="auto"/>
              </w:rPr>
            </m:ctrlPr>
          </m:sub>
        </m:sSub>
      </m:oMath>
      <w:r>
        <w:rPr>
          <w:rFonts w:hint="eastAsia" w:ascii="微软雅黑" w:hAnsi="微软雅黑" w:eastAsia="微软雅黑"/>
          <w:color w:val="auto"/>
        </w:rPr>
        <w:tab/>
      </w:r>
      <w:r>
        <w:rPr>
          <w:color w:val="auto"/>
        </w:rPr>
        <w:t>(</w:t>
      </w:r>
      <w:r>
        <w:rPr>
          <w:color w:val="auto"/>
        </w:rPr>
        <w:fldChar w:fldCharType="begin"/>
      </w:r>
      <w:r>
        <w:rPr>
          <w:color w:val="auto"/>
        </w:rPr>
        <w:instrText xml:space="preserve"> AUTONUM </w:instrText>
      </w:r>
      <w:r>
        <w:rPr>
          <w:color w:val="auto"/>
        </w:rPr>
        <w:fldChar w:fldCharType="end"/>
      </w:r>
      <w:r>
        <w:rPr>
          <w:color w:val="auto"/>
        </w:rPr>
        <w:t>)</w:t>
      </w:r>
    </w:p>
    <w:p w14:paraId="095B934E">
      <w:pPr>
        <w:pStyle w:val="55"/>
        <w:ind w:firstLine="420"/>
        <w:rPr>
          <w:color w:val="auto"/>
        </w:rPr>
      </w:pPr>
      <w:r>
        <w:rPr>
          <w:rFonts w:hint="eastAsia"/>
          <w:color w:val="auto"/>
        </w:rPr>
        <w:t>式中：</w:t>
      </w:r>
    </w:p>
    <w:p w14:paraId="192EC977">
      <w:pPr>
        <w:pStyle w:val="56"/>
        <w:ind w:left="1260" w:leftChars="200" w:hanging="840" w:hangingChars="400"/>
        <w:rPr>
          <w:color w:val="auto"/>
        </w:rPr>
      </w:pPr>
      <m:oMath>
        <m:sSub>
          <m:sSubPr>
            <m:ctrlPr>
              <w:rPr>
                <w:rFonts w:ascii="Cambria Math" w:hAnsi="Cambria Math"/>
                <w:i/>
                <w:color w:val="auto"/>
                <w:kern w:val="2"/>
                <w:szCs w:val="21"/>
              </w:rPr>
            </m:ctrlPr>
          </m:sSubPr>
          <m:e>
            <m:r>
              <m:rPr/>
              <w:rPr>
                <w:rFonts w:ascii="Cambria Math" w:hAnsi="Cambria Math"/>
                <w:color w:val="auto"/>
              </w:rPr>
              <m:t>P</m:t>
            </m:r>
            <m:ctrlPr>
              <w:rPr>
                <w:rFonts w:ascii="Cambria Math" w:hAnsi="Cambria Math"/>
                <w:i/>
                <w:color w:val="auto"/>
                <w:kern w:val="2"/>
                <w:szCs w:val="21"/>
              </w:rPr>
            </m:ctrlPr>
          </m:e>
          <m:sub>
            <m:r>
              <m:rPr/>
              <w:rPr>
                <w:rFonts w:hint="eastAsia" w:ascii="Cambria Math" w:hAnsi="Cambria Math"/>
                <w:color w:val="auto"/>
              </w:rPr>
              <m:t>碳酸盐</m:t>
            </m:r>
            <m:ctrlPr>
              <w:rPr>
                <w:rFonts w:ascii="Cambria Math" w:hAnsi="Cambria Math"/>
                <w:i/>
                <w:color w:val="auto"/>
                <w:kern w:val="2"/>
                <w:szCs w:val="21"/>
              </w:rPr>
            </m:ctrlPr>
          </m:sub>
        </m:sSub>
      </m:oMath>
      <w:r>
        <w:rPr>
          <w:rFonts w:hint="eastAsia"/>
          <w:color w:val="auto"/>
          <w:kern w:val="2"/>
          <w:szCs w:val="21"/>
        </w:rPr>
        <w:t xml:space="preserve">   </w:t>
      </w:r>
      <w:r>
        <w:rPr>
          <w:rFonts w:hint="eastAsia"/>
          <w:color w:val="auto"/>
        </w:rPr>
        <w:t>——核算边界和报告期内每声明单位含碳酸盐原辅料的消耗量，单位为t/tEMD；</w:t>
      </w:r>
    </w:p>
    <w:p w14:paraId="32F3A190">
      <w:pPr>
        <w:pStyle w:val="56"/>
        <w:ind w:left="1260" w:leftChars="200" w:hanging="840" w:hangingChars="400"/>
      </w:pPr>
      <m:oMath>
        <m:sSub>
          <m:sSubPr>
            <m:ctrlPr>
              <w:rPr>
                <w:rFonts w:ascii="Cambria Math" w:hAnsi="Cambria Math"/>
                <w:i/>
                <w:kern w:val="2"/>
                <w:szCs w:val="21"/>
              </w:rPr>
            </m:ctrlPr>
          </m:sSubPr>
          <m:e>
            <m:r>
              <m:rPr/>
              <w:rPr>
                <w:rFonts w:ascii="Cambria Math" w:hAnsi="Cambria Math"/>
              </w:rPr>
              <m:t>PUR</m:t>
            </m:r>
            <m:ctrlPr>
              <w:rPr>
                <w:rFonts w:ascii="Cambria Math" w:hAnsi="Cambria Math"/>
                <w:i/>
                <w:kern w:val="2"/>
                <w:szCs w:val="21"/>
              </w:rPr>
            </m:ctrlPr>
          </m:e>
          <m:sub>
            <m:r>
              <m:rPr/>
              <w:rPr>
                <w:rFonts w:hint="eastAsia" w:ascii="Cambria Math" w:hAnsi="Cambria Math"/>
              </w:rPr>
              <m:t>碳酸盐</m:t>
            </m:r>
            <m:ctrlPr>
              <w:rPr>
                <w:rFonts w:ascii="Cambria Math" w:hAnsi="Cambria Math"/>
                <w:i/>
                <w:kern w:val="2"/>
                <w:szCs w:val="21"/>
              </w:rPr>
            </m:ctrlPr>
          </m:sub>
        </m:sSub>
      </m:oMath>
      <w:r>
        <w:rPr>
          <w:rFonts w:hint="eastAsia"/>
        </w:rPr>
        <w:t>——碳酸盐组分的质量分数，取值范围为0～1；</w:t>
      </w:r>
    </w:p>
    <w:p w14:paraId="4789E827">
      <w:pPr>
        <w:pStyle w:val="56"/>
        <w:ind w:left="1260" w:leftChars="200" w:hanging="840" w:hangingChars="400"/>
      </w:pPr>
      <m:oMath>
        <m:sSub>
          <m:sSubPr>
            <m:ctrlPr>
              <w:rPr>
                <w:rFonts w:ascii="Cambria Math" w:hAnsi="Cambria Math"/>
                <w:i/>
                <w:kern w:val="2"/>
                <w:szCs w:val="21"/>
              </w:rPr>
            </m:ctrlPr>
          </m:sSubPr>
          <m:e>
            <m:r>
              <m:rPr/>
              <w:rPr>
                <w:rFonts w:ascii="Cambria Math" w:hAnsi="Cambria Math"/>
              </w:rPr>
              <m:t>EF</m:t>
            </m:r>
            <m:ctrlPr>
              <w:rPr>
                <w:rFonts w:ascii="Cambria Math" w:hAnsi="Cambria Math"/>
                <w:i/>
                <w:kern w:val="2"/>
                <w:szCs w:val="21"/>
              </w:rPr>
            </m:ctrlPr>
          </m:e>
          <m:sub>
            <m:r>
              <m:rPr/>
              <w:rPr>
                <w:rFonts w:hint="eastAsia" w:ascii="Cambria Math" w:hAnsi="Cambria Math"/>
              </w:rPr>
              <m:t>碳酸盐</m:t>
            </m:r>
            <m:ctrlPr>
              <w:rPr>
                <w:rFonts w:ascii="Cambria Math" w:hAnsi="Cambria Math"/>
                <w:i/>
                <w:kern w:val="2"/>
                <w:szCs w:val="21"/>
              </w:rPr>
            </m:ctrlPr>
          </m:sub>
        </m:sSub>
      </m:oMath>
      <w:r>
        <w:rPr>
          <w:rFonts w:hint="eastAsia"/>
          <w:kern w:val="2"/>
          <w:szCs w:val="21"/>
        </w:rPr>
        <w:t xml:space="preserve">  </w:t>
      </w:r>
      <w:r>
        <w:t>——</w:t>
      </w:r>
      <w:r>
        <w:rPr>
          <w:rFonts w:hint="eastAsia"/>
        </w:rPr>
        <w:t>碳酸盐的温室气体排放因子，单位为</w:t>
      </w:r>
      <w:r>
        <w:t>tCO₂e/t</w:t>
      </w:r>
      <w:r>
        <w:rPr>
          <w:rFonts w:hint="eastAsia"/>
        </w:rPr>
        <w:t>，参见附录</w:t>
      </w:r>
      <w:r>
        <w:t>E</w:t>
      </w:r>
      <w:r>
        <w:rPr>
          <w:rFonts w:hint="eastAsia"/>
        </w:rPr>
        <w:t>中表</w:t>
      </w:r>
      <w:r>
        <w:t>E.3</w:t>
      </w:r>
      <w:r>
        <w:rPr>
          <w:rFonts w:hint="eastAsia"/>
        </w:rPr>
        <w:t>。</w:t>
      </w:r>
    </w:p>
    <w:p w14:paraId="109C0E04">
      <w:pPr>
        <w:pStyle w:val="113"/>
        <w:rPr>
          <w:rFonts w:hint="eastAsia"/>
        </w:rPr>
      </w:pPr>
      <w:r>
        <w:rPr>
          <w:rFonts w:hint="eastAsia"/>
        </w:rPr>
        <w:tab/>
      </w:r>
      <m:oMath>
        <m:sSub>
          <m:sSubPr>
            <m:ctrlPr>
              <w:rPr>
                <w:rFonts w:ascii="Cambria Math" w:hAnsi="Cambria Math"/>
                <w:i/>
              </w:rPr>
            </m:ctrlPr>
          </m:sSubPr>
          <m:e>
            <m:r>
              <m:rPr/>
              <w:rPr>
                <w:rFonts w:ascii="Cambria Math" w:hAnsi="Cambria Math"/>
              </w:rPr>
              <m:t>CFP</m:t>
            </m:r>
            <m:ctrlPr>
              <w:rPr>
                <w:rFonts w:ascii="Cambria Math" w:hAnsi="Cambria Math"/>
                <w:i/>
              </w:rPr>
            </m:ctrlPr>
          </m:e>
          <m:sub>
            <m:r>
              <m:rPr/>
              <w:rPr>
                <w:rFonts w:hint="eastAsia" w:ascii="Cambria Math" w:hAnsi="Cambria Math"/>
              </w:rPr>
              <m:t>还原剂</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AD</m:t>
            </m:r>
            <m:ctrlPr>
              <w:rPr>
                <w:rFonts w:ascii="Cambria Math" w:hAnsi="Cambria Math"/>
                <w:i/>
              </w:rPr>
            </m:ctrlPr>
          </m:e>
          <m:sub>
            <m:r>
              <m:rPr/>
              <w:rPr>
                <w:rFonts w:ascii="Cambria Math" w:hAnsi="Cambria Math"/>
              </w:rPr>
              <m:t>h</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CC</m:t>
            </m:r>
            <m:ctrlPr>
              <w:rPr>
                <w:rFonts w:ascii="Cambria Math" w:hAnsi="Cambria Math"/>
                <w:i/>
              </w:rPr>
            </m:ctrlPr>
          </m:e>
          <m:sub>
            <m:r>
              <m:rPr/>
              <w:rPr>
                <w:rFonts w:ascii="Cambria Math" w:hAnsi="Cambria Math"/>
              </w:rPr>
              <m:t>h</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OF</m:t>
            </m:r>
            <m:ctrlPr>
              <w:rPr>
                <w:rFonts w:ascii="Cambria Math" w:hAnsi="Cambria Math"/>
                <w:i/>
              </w:rPr>
            </m:ctrlPr>
          </m:e>
          <m:sub>
            <m:r>
              <m:rPr/>
              <w:rPr>
                <w:rFonts w:ascii="Cambria Math" w:hAnsi="Cambria Math" w:cs="Cambria Math"/>
              </w:rPr>
              <m:t>h</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44</m:t>
            </m:r>
            <m:ctrlPr>
              <w:rPr>
                <w:rFonts w:ascii="Cambria Math" w:hAnsi="Cambria Math"/>
                <w:i/>
              </w:rPr>
            </m:ctrlPr>
          </m:num>
          <m:den>
            <m:r>
              <m:rPr/>
              <w:rPr>
                <w:rFonts w:ascii="Cambria Math" w:hAnsi="Cambria Math"/>
              </w:rPr>
              <m:t>12</m:t>
            </m:r>
            <m:ctrlPr>
              <w:rPr>
                <w:rFonts w:ascii="Cambria Math" w:hAnsi="Cambria Math"/>
                <w:i/>
              </w:rPr>
            </m:ctrlPr>
          </m:den>
        </m:f>
      </m:oMath>
      <w:r>
        <w:rPr>
          <w:rFonts w:hint="eastAsia" w:ascii="微软雅黑" w:hAnsi="微软雅黑" w:eastAsia="微软雅黑"/>
        </w:rPr>
        <w:tab/>
      </w:r>
      <w:r>
        <w:t>(</w:t>
      </w:r>
      <w:r>
        <w:fldChar w:fldCharType="begin"/>
      </w:r>
      <w:r>
        <w:instrText xml:space="preserve"> AUTONUM </w:instrText>
      </w:r>
      <w:r>
        <w:fldChar w:fldCharType="end"/>
      </w:r>
      <w:r>
        <w:t>)</w:t>
      </w:r>
    </w:p>
    <w:p w14:paraId="4DD26DDE">
      <w:pPr>
        <w:pStyle w:val="55"/>
        <w:ind w:firstLine="420"/>
      </w:pPr>
      <w:r>
        <w:rPr>
          <w:rFonts w:hint="eastAsia"/>
        </w:rPr>
        <w:t>式中：</w:t>
      </w:r>
    </w:p>
    <w:p w14:paraId="1CCDC341">
      <w:pPr>
        <w:pStyle w:val="56"/>
        <w:ind w:left="1260" w:leftChars="200" w:hanging="840" w:hangingChars="400"/>
      </w:pPr>
      <m:oMath>
        <m:sSub>
          <m:sSubPr>
            <m:ctrlPr>
              <w:rPr>
                <w:rFonts w:ascii="Cambria Math" w:hAnsi="Cambria Math"/>
                <w:i/>
                <w:kern w:val="2"/>
                <w:szCs w:val="21"/>
              </w:rPr>
            </m:ctrlPr>
          </m:sSubPr>
          <m:e>
            <m:r>
              <m:rPr/>
              <w:rPr>
                <w:rFonts w:ascii="Cambria Math" w:hAnsi="Cambria Math"/>
              </w:rPr>
              <m:t>AD</m:t>
            </m:r>
            <m:ctrlPr>
              <w:rPr>
                <w:rFonts w:ascii="Cambria Math" w:hAnsi="Cambria Math"/>
                <w:i/>
                <w:kern w:val="2"/>
                <w:szCs w:val="21"/>
              </w:rPr>
            </m:ctrlPr>
          </m:e>
          <m:sub>
            <m:r>
              <m:rPr/>
              <w:rPr>
                <w:rFonts w:ascii="Cambria Math" w:hAnsi="Cambria Math"/>
              </w:rPr>
              <m:t>h</m:t>
            </m:r>
            <m:ctrlPr>
              <w:rPr>
                <w:rFonts w:ascii="Cambria Math" w:hAnsi="Cambria Math"/>
                <w:i/>
                <w:kern w:val="2"/>
                <w:szCs w:val="21"/>
              </w:rPr>
            </m:ctrlPr>
          </m:sub>
        </m:sSub>
      </m:oMath>
      <w:r>
        <w:rPr>
          <w:rFonts w:hint="eastAsia"/>
        </w:rPr>
        <w:t>——每声明单位焙烧生产过程还原剂的消耗量，单位与还原剂匹配，如t/tEMD；</w:t>
      </w:r>
    </w:p>
    <w:p w14:paraId="1CC853C8">
      <w:pPr>
        <w:pStyle w:val="56"/>
        <w:ind w:left="1260" w:leftChars="200" w:hanging="840" w:hangingChars="400"/>
      </w:pPr>
      <m:oMath>
        <m:sSub>
          <m:sSubPr>
            <m:ctrlPr>
              <w:rPr>
                <w:rFonts w:ascii="Cambria Math" w:hAnsi="Cambria Math"/>
                <w:i/>
                <w:kern w:val="2"/>
                <w:szCs w:val="21"/>
              </w:rPr>
            </m:ctrlPr>
          </m:sSubPr>
          <m:e>
            <m:r>
              <m:rPr/>
              <w:rPr>
                <w:rFonts w:ascii="Cambria Math" w:hAnsi="Cambria Math"/>
              </w:rPr>
              <m:t>CC</m:t>
            </m:r>
            <m:ctrlPr>
              <w:rPr>
                <w:rFonts w:ascii="Cambria Math" w:hAnsi="Cambria Math"/>
                <w:i/>
                <w:kern w:val="2"/>
                <w:szCs w:val="21"/>
              </w:rPr>
            </m:ctrlPr>
          </m:e>
          <m:sub>
            <m:r>
              <m:rPr/>
              <w:rPr>
                <w:rFonts w:ascii="Cambria Math" w:hAnsi="Cambria Math"/>
              </w:rPr>
              <m:t>h</m:t>
            </m:r>
            <m:ctrlPr>
              <w:rPr>
                <w:rFonts w:ascii="Cambria Math" w:hAnsi="Cambria Math"/>
                <w:i/>
                <w:kern w:val="2"/>
                <w:szCs w:val="21"/>
              </w:rPr>
            </m:ctrlPr>
          </m:sub>
        </m:sSub>
      </m:oMath>
      <w:r>
        <w:rPr>
          <w:rFonts w:hint="eastAsia"/>
        </w:rPr>
        <w:t>——还原剂的含碳量，单位与还原剂匹配，如吨碳每吨(tC/t)；</w:t>
      </w:r>
    </w:p>
    <w:p w14:paraId="4C42D7DA">
      <w:pPr>
        <w:pStyle w:val="56"/>
        <w:ind w:left="1260" w:leftChars="200" w:hanging="840" w:hangingChars="400"/>
      </w:pPr>
      <m:oMath>
        <m:sSub>
          <m:sSubPr>
            <m:ctrlPr>
              <w:rPr>
                <w:rFonts w:ascii="Cambria Math" w:hAnsi="Cambria Math"/>
                <w:i/>
                <w:kern w:val="2"/>
                <w:szCs w:val="21"/>
              </w:rPr>
            </m:ctrlPr>
          </m:sSubPr>
          <m:e>
            <m:r>
              <m:rPr/>
              <w:rPr>
                <w:rFonts w:ascii="Cambria Math" w:hAnsi="Cambria Math"/>
              </w:rPr>
              <m:t>OF</m:t>
            </m:r>
            <m:ctrlPr>
              <w:rPr>
                <w:rFonts w:ascii="Cambria Math" w:hAnsi="Cambria Math"/>
                <w:i/>
                <w:kern w:val="2"/>
                <w:szCs w:val="21"/>
              </w:rPr>
            </m:ctrlPr>
          </m:e>
          <m:sub>
            <m:r>
              <m:rPr/>
              <w:rPr>
                <w:rFonts w:ascii="Cambria Math" w:hAnsi="Cambria Math" w:cs="Cambria Math"/>
              </w:rPr>
              <m:t>h</m:t>
            </m:r>
            <m:ctrlPr>
              <w:rPr>
                <w:rFonts w:ascii="Cambria Math" w:hAnsi="Cambria Math"/>
                <w:i/>
                <w:kern w:val="2"/>
                <w:szCs w:val="21"/>
              </w:rPr>
            </m:ctrlPr>
          </m:sub>
        </m:sSub>
      </m:oMath>
      <w:r>
        <w:rPr>
          <w:rFonts w:hint="eastAsia"/>
        </w:rPr>
        <w:t>——焙烧还原剂的碳氧化率，单位为百分比(%)，可参照附录表E中表E.2。</w:t>
      </w:r>
    </w:p>
    <w:p w14:paraId="3B5FA8E0">
      <w:pPr>
        <w:pStyle w:val="104"/>
        <w:spacing w:before="240" w:after="240"/>
      </w:pPr>
      <w:bookmarkStart w:id="139" w:name="_Toc219754429"/>
      <w:bookmarkStart w:id="140" w:name="_Toc10075"/>
      <w:bookmarkStart w:id="141" w:name="_Toc219754393"/>
      <w:r>
        <w:rPr>
          <w:rFonts w:hint="eastAsia"/>
        </w:rPr>
        <w:t>结果解释</w:t>
      </w:r>
      <w:bookmarkEnd w:id="139"/>
      <w:bookmarkEnd w:id="140"/>
      <w:bookmarkEnd w:id="141"/>
    </w:p>
    <w:p w14:paraId="5FDE7BAE">
      <w:pPr>
        <w:pStyle w:val="162"/>
      </w:pPr>
      <w:r>
        <w:rPr>
          <w:rFonts w:hint="eastAsia"/>
        </w:rPr>
        <w:t>产品碳足迹研究的生命周期结果解释阶段应包括以下步骤：</w:t>
      </w:r>
    </w:p>
    <w:p w14:paraId="753BA809">
      <w:pPr>
        <w:pStyle w:val="174"/>
        <w:numPr>
          <w:ilvl w:val="0"/>
          <w:numId w:val="47"/>
        </w:numPr>
      </w:pPr>
      <w:r>
        <w:rPr>
          <w:rFonts w:hint="eastAsia"/>
        </w:rPr>
        <w:t>根据生命周期清单分析和生命周期影响评价的电解二氧化锰及相关产品碳足迹的量化结果，识别显著环节(可包括生命周期阶段、单元过程或流)；</w:t>
      </w:r>
    </w:p>
    <w:p w14:paraId="0CAA5BB5">
      <w:pPr>
        <w:pStyle w:val="174"/>
        <w:numPr>
          <w:ilvl w:val="0"/>
          <w:numId w:val="47"/>
        </w:numPr>
      </w:pPr>
      <w:r>
        <w:rPr>
          <w:rFonts w:hint="eastAsia"/>
        </w:rPr>
        <w:t>完整性、一致性和敏感性分析的评估；</w:t>
      </w:r>
    </w:p>
    <w:p w14:paraId="7E8CDABC">
      <w:pPr>
        <w:pStyle w:val="174"/>
        <w:numPr>
          <w:ilvl w:val="0"/>
          <w:numId w:val="47"/>
        </w:numPr>
      </w:pPr>
      <w:r>
        <w:rPr>
          <w:rFonts w:hint="eastAsia"/>
        </w:rPr>
        <w:t>结论、局限性和建议的编制。</w:t>
      </w:r>
    </w:p>
    <w:p w14:paraId="7CB05009">
      <w:pPr>
        <w:pStyle w:val="162"/>
      </w:pPr>
      <w:r>
        <w:rPr>
          <w:rFonts w:hint="eastAsia"/>
        </w:rPr>
        <w:t>按照产品碳足迹研究的目的和范围，对产品碳足迹影响评价的量化结果进行解释，解释应包括以下内容：</w:t>
      </w:r>
    </w:p>
    <w:p w14:paraId="12FB5F49">
      <w:pPr>
        <w:pStyle w:val="174"/>
        <w:numPr>
          <w:ilvl w:val="0"/>
          <w:numId w:val="48"/>
        </w:numPr>
      </w:pPr>
      <w:r>
        <w:rPr>
          <w:rFonts w:hint="eastAsia"/>
        </w:rPr>
        <w:t>说明产品碳足迹和各阶段碳足迹；</w:t>
      </w:r>
    </w:p>
    <w:p w14:paraId="50832A4B">
      <w:pPr>
        <w:pStyle w:val="174"/>
        <w:numPr>
          <w:ilvl w:val="0"/>
          <w:numId w:val="48"/>
        </w:numPr>
      </w:pPr>
      <w:r>
        <w:rPr>
          <w:rFonts w:hint="eastAsia"/>
        </w:rPr>
        <w:t>分析不确定性，包括取舍准则的应用或范围；</w:t>
      </w:r>
    </w:p>
    <w:p w14:paraId="52FA509E">
      <w:pPr>
        <w:pStyle w:val="174"/>
        <w:numPr>
          <w:ilvl w:val="0"/>
          <w:numId w:val="48"/>
        </w:numPr>
      </w:pPr>
      <w:r>
        <w:rPr>
          <w:rFonts w:hint="eastAsia"/>
        </w:rPr>
        <w:t>详细记录选定的分配程序；</w:t>
      </w:r>
    </w:p>
    <w:p w14:paraId="67F3A147">
      <w:pPr>
        <w:pStyle w:val="174"/>
        <w:numPr>
          <w:ilvl w:val="0"/>
          <w:numId w:val="48"/>
        </w:numPr>
      </w:pPr>
      <w:r>
        <w:rPr>
          <w:rFonts w:hint="eastAsia"/>
        </w:rPr>
        <w:t>说明产品碳足迹研究的局限性。</w:t>
      </w:r>
    </w:p>
    <w:p w14:paraId="087EFF82">
      <w:pPr>
        <w:pStyle w:val="162"/>
      </w:pPr>
      <w:r>
        <w:rPr>
          <w:rFonts w:hint="eastAsia"/>
        </w:rPr>
        <w:t>结果解释宜包括以下内容：</w:t>
      </w:r>
    </w:p>
    <w:p w14:paraId="0B1CC21F">
      <w:pPr>
        <w:pStyle w:val="174"/>
        <w:numPr>
          <w:ilvl w:val="0"/>
          <w:numId w:val="49"/>
        </w:numPr>
      </w:pPr>
      <w:r>
        <w:rPr>
          <w:rFonts w:hint="eastAsia"/>
        </w:rPr>
        <w:t>分析重要输人、输出和方法学选择(包括分配程序)的敏感性，以了解结果的敏感性和不确</w:t>
      </w:r>
    </w:p>
    <w:p w14:paraId="694FD2F6">
      <w:pPr>
        <w:pStyle w:val="174"/>
        <w:numPr>
          <w:ilvl w:val="0"/>
          <w:numId w:val="49"/>
        </w:numPr>
      </w:pPr>
      <w:r>
        <w:rPr>
          <w:rFonts w:hint="eastAsia"/>
        </w:rPr>
        <w:t>定性；</w:t>
      </w:r>
    </w:p>
    <w:p w14:paraId="365D0DF2">
      <w:pPr>
        <w:pStyle w:val="174"/>
        <w:numPr>
          <w:ilvl w:val="0"/>
          <w:numId w:val="49"/>
        </w:numPr>
      </w:pPr>
      <w:r>
        <w:rPr>
          <w:rFonts w:hint="eastAsia"/>
        </w:rPr>
        <w:t>评估替代使用情景对最终结果的影响评价；</w:t>
      </w:r>
    </w:p>
    <w:p w14:paraId="2AECC9F1">
      <w:pPr>
        <w:pStyle w:val="174"/>
        <w:numPr>
          <w:ilvl w:val="0"/>
          <w:numId w:val="49"/>
        </w:numPr>
      </w:pPr>
      <w:r>
        <w:rPr>
          <w:rFonts w:hint="eastAsia"/>
        </w:rPr>
        <w:t>评估不同生命末期阶段情景对最终结果的影响评价；</w:t>
      </w:r>
    </w:p>
    <w:p w14:paraId="590BF1E6">
      <w:pPr>
        <w:pStyle w:val="174"/>
        <w:numPr>
          <w:ilvl w:val="0"/>
          <w:numId w:val="49"/>
        </w:numPr>
      </w:pPr>
      <w:r>
        <w:rPr>
          <w:rFonts w:hint="eastAsia"/>
        </w:rPr>
        <w:t>评估建议对结果的影响；</w:t>
      </w:r>
    </w:p>
    <w:p w14:paraId="3A4BEC1B">
      <w:pPr>
        <w:pStyle w:val="174"/>
        <w:numPr>
          <w:ilvl w:val="0"/>
          <w:numId w:val="49"/>
        </w:numPr>
      </w:pPr>
      <w:r>
        <w:rPr>
          <w:rFonts w:hint="eastAsia"/>
        </w:rPr>
        <w:t>描述地理格网的划分方法及地理格网的尺度要求原则(如适用)。</w:t>
      </w:r>
    </w:p>
    <w:p w14:paraId="0DADA2B3">
      <w:pPr>
        <w:pStyle w:val="104"/>
        <w:spacing w:before="240" w:after="240"/>
      </w:pPr>
      <w:bookmarkStart w:id="142" w:name="_Toc219754394"/>
      <w:bookmarkStart w:id="143" w:name="_Toc219754430"/>
      <w:bookmarkStart w:id="144" w:name="_Toc32476"/>
      <w:r>
        <w:rPr>
          <w:rFonts w:hint="eastAsia"/>
        </w:rPr>
        <w:t>报告内容和格式</w:t>
      </w:r>
      <w:bookmarkEnd w:id="142"/>
      <w:bookmarkEnd w:id="143"/>
      <w:bookmarkEnd w:id="144"/>
    </w:p>
    <w:p w14:paraId="59476D2A">
      <w:pPr>
        <w:pStyle w:val="105"/>
        <w:spacing w:before="120" w:after="120"/>
      </w:pPr>
      <w:bookmarkStart w:id="145" w:name="_Toc219754395"/>
      <w:bookmarkStart w:id="146" w:name="_Toc219754431"/>
      <w:r>
        <w:rPr>
          <w:rFonts w:hint="eastAsia"/>
        </w:rPr>
        <w:t>报告内容</w:t>
      </w:r>
      <w:bookmarkEnd w:id="145"/>
      <w:bookmarkEnd w:id="146"/>
    </w:p>
    <w:p w14:paraId="2433D0AE">
      <w:pPr>
        <w:pStyle w:val="56"/>
        <w:ind w:firstLine="420"/>
      </w:pPr>
      <w:r>
        <w:rPr>
          <w:rFonts w:hint="eastAsia"/>
        </w:rPr>
        <w:t>产品碳足迹报告应包含但不限于以下内容：</w:t>
      </w:r>
    </w:p>
    <w:p w14:paraId="72D976AE">
      <w:pPr>
        <w:pStyle w:val="174"/>
        <w:numPr>
          <w:ilvl w:val="0"/>
          <w:numId w:val="50"/>
        </w:numPr>
      </w:pPr>
      <w:r>
        <w:rPr>
          <w:rFonts w:hint="eastAsia"/>
        </w:rPr>
        <w:t>生产者信息；</w:t>
      </w:r>
    </w:p>
    <w:p w14:paraId="1BAAD864">
      <w:pPr>
        <w:pStyle w:val="174"/>
      </w:pPr>
      <w:r>
        <w:rPr>
          <w:rFonts w:hint="eastAsia"/>
        </w:rPr>
        <w:t>产品信息；</w:t>
      </w:r>
    </w:p>
    <w:p w14:paraId="043C2C74">
      <w:pPr>
        <w:pStyle w:val="174"/>
      </w:pPr>
      <w:r>
        <w:rPr>
          <w:rFonts w:hint="eastAsia"/>
        </w:rPr>
        <w:t>量化目的；</w:t>
      </w:r>
    </w:p>
    <w:p w14:paraId="1382137E">
      <w:pPr>
        <w:pStyle w:val="174"/>
      </w:pPr>
      <w:r>
        <w:rPr>
          <w:rFonts w:hint="eastAsia"/>
        </w:rPr>
        <w:t>声明单位</w:t>
      </w:r>
    </w:p>
    <w:p w14:paraId="003288D7">
      <w:pPr>
        <w:pStyle w:val="174"/>
      </w:pPr>
      <w:r>
        <w:rPr>
          <w:rFonts w:hint="eastAsia"/>
        </w:rPr>
        <w:t>系统边界；</w:t>
      </w:r>
    </w:p>
    <w:p w14:paraId="2DB85F32">
      <w:pPr>
        <w:pStyle w:val="174"/>
      </w:pPr>
      <w:r>
        <w:rPr>
          <w:rFonts w:hint="eastAsia"/>
        </w:rPr>
        <w:t>取舍准则</w:t>
      </w:r>
    </w:p>
    <w:p w14:paraId="1528D8C2">
      <w:pPr>
        <w:pStyle w:val="174"/>
      </w:pPr>
      <w:r>
        <w:rPr>
          <w:rFonts w:hint="eastAsia"/>
        </w:rPr>
        <w:t>时间范围；</w:t>
      </w:r>
    </w:p>
    <w:p w14:paraId="5B10594D">
      <w:pPr>
        <w:pStyle w:val="174"/>
      </w:pPr>
      <w:r>
        <w:rPr>
          <w:rFonts w:hint="eastAsia"/>
        </w:rPr>
        <w:t>数据来源说明；</w:t>
      </w:r>
    </w:p>
    <w:p w14:paraId="1D3EBC1C">
      <w:pPr>
        <w:pStyle w:val="174"/>
      </w:pPr>
      <w:r>
        <w:rPr>
          <w:rFonts w:hint="eastAsia"/>
        </w:rPr>
        <w:t>分配原则与程序；</w:t>
      </w:r>
    </w:p>
    <w:p w14:paraId="0AC34F8C">
      <w:pPr>
        <w:pStyle w:val="174"/>
      </w:pPr>
      <w:r>
        <w:rPr>
          <w:rFonts w:hint="eastAsia"/>
        </w:rPr>
        <w:t>清单计算；</w:t>
      </w:r>
    </w:p>
    <w:p w14:paraId="01CF6B61">
      <w:pPr>
        <w:pStyle w:val="174"/>
      </w:pPr>
      <w:r>
        <w:rPr>
          <w:rFonts w:hint="eastAsia"/>
        </w:rPr>
        <w:t>产品碳足迹计算及影响评价；</w:t>
      </w:r>
    </w:p>
    <w:p w14:paraId="0D572096">
      <w:pPr>
        <w:pStyle w:val="174"/>
      </w:pPr>
      <w:r>
        <w:rPr>
          <w:rFonts w:hint="eastAsia"/>
        </w:rPr>
        <w:t>结果解释；</w:t>
      </w:r>
    </w:p>
    <w:p w14:paraId="6289E4BF">
      <w:pPr>
        <w:pStyle w:val="174"/>
      </w:pPr>
      <w:r>
        <w:rPr>
          <w:rFonts w:hint="eastAsia"/>
        </w:rPr>
        <w:t>其他需要说明的情况。</w:t>
      </w:r>
    </w:p>
    <w:p w14:paraId="5F196471">
      <w:pPr>
        <w:pStyle w:val="105"/>
        <w:spacing w:before="120" w:after="120"/>
      </w:pPr>
      <w:bookmarkStart w:id="147" w:name="_Toc219754432"/>
      <w:bookmarkStart w:id="148" w:name="_Toc219754396"/>
      <w:r>
        <w:rPr>
          <w:rFonts w:hint="eastAsia"/>
        </w:rPr>
        <w:t>报告格式</w:t>
      </w:r>
      <w:bookmarkEnd w:id="147"/>
      <w:bookmarkEnd w:id="148"/>
    </w:p>
    <w:p w14:paraId="6C2F37A3">
      <w:pPr>
        <w:pStyle w:val="56"/>
        <w:ind w:firstLine="420"/>
      </w:pPr>
      <w:r>
        <w:rPr>
          <w:rFonts w:hint="eastAsia"/>
        </w:rPr>
        <w:t>依据本文件编制的产品碳足迹报告应符合GB/T 24067第7章的要求，报告模板宜参考附录</w:t>
      </w:r>
      <w:r>
        <w:rPr>
          <w:rFonts w:hint="eastAsia"/>
          <w:lang w:val="en-US" w:eastAsia="zh-CN"/>
        </w:rPr>
        <w:t>F</w:t>
      </w:r>
      <w:r>
        <w:rPr>
          <w:rFonts w:hint="eastAsia"/>
        </w:rPr>
        <w:t>。</w:t>
      </w:r>
    </w:p>
    <w:p w14:paraId="5B05A44F">
      <w:pPr>
        <w:pStyle w:val="104"/>
        <w:spacing w:before="240" w:after="240"/>
      </w:pPr>
      <w:bookmarkStart w:id="149" w:name="_Toc219754398"/>
      <w:bookmarkStart w:id="150" w:name="_Toc219754434"/>
      <w:bookmarkStart w:id="151" w:name="_Toc6796"/>
      <w:r>
        <w:rPr>
          <w:rFonts w:hint="eastAsia"/>
        </w:rPr>
        <w:t>产品碳足迹声明</w:t>
      </w:r>
      <w:bookmarkEnd w:id="149"/>
      <w:bookmarkEnd w:id="150"/>
      <w:bookmarkEnd w:id="151"/>
    </w:p>
    <w:p w14:paraId="027D6177">
      <w:pPr>
        <w:pStyle w:val="56"/>
        <w:ind w:firstLine="420"/>
      </w:pPr>
      <w:r>
        <w:rPr>
          <w:rFonts w:hint="eastAsia"/>
        </w:rPr>
        <w:t>如需声明时，按照GB/T 24025或ISO 14026的规定进行，相关声明可用于具有相同功能的不同产品之间的比较。</w:t>
      </w:r>
    </w:p>
    <w:p w14:paraId="1F10C1E3">
      <w:pPr>
        <w:pStyle w:val="56"/>
        <w:ind w:firstLine="420"/>
        <w:sectPr>
          <w:pgSz w:w="11906" w:h="16838"/>
          <w:pgMar w:top="1928" w:right="1134" w:bottom="1134" w:left="1134" w:header="1418" w:footer="1134" w:gutter="284"/>
          <w:pgNumType w:start="1"/>
          <w:cols w:space="425" w:num="1"/>
          <w:formProt w:val="0"/>
          <w:docGrid w:linePitch="312" w:charSpace="0"/>
        </w:sectPr>
      </w:pPr>
    </w:p>
    <w:bookmarkEnd w:id="29"/>
    <w:p w14:paraId="60EAE906">
      <w:pPr>
        <w:pStyle w:val="198"/>
        <w:rPr>
          <w:rFonts w:hint="eastAsia"/>
          <w:vanish w:val="0"/>
        </w:rPr>
      </w:pPr>
      <w:bookmarkStart w:id="152" w:name="BookMark5"/>
    </w:p>
    <w:p w14:paraId="2EFA6791">
      <w:pPr>
        <w:pStyle w:val="199"/>
        <w:rPr>
          <w:vanish w:val="0"/>
        </w:rPr>
      </w:pPr>
    </w:p>
    <w:p w14:paraId="5763FE17">
      <w:pPr>
        <w:pStyle w:val="76"/>
        <w:spacing w:after="120"/>
      </w:pPr>
      <w:bookmarkStart w:id="153" w:name="_Toc28560"/>
      <w:r>
        <w:br w:type="textWrapping"/>
      </w:r>
      <w:bookmarkStart w:id="154" w:name="_Toc219754399"/>
      <w:bookmarkStart w:id="155" w:name="_Toc219754435"/>
      <w:r>
        <w:rPr>
          <w:rFonts w:hint="eastAsia"/>
        </w:rPr>
        <w:t>（资料性）</w:t>
      </w:r>
      <w:r>
        <w:br w:type="textWrapping"/>
      </w:r>
      <w:r>
        <w:rPr>
          <w:rFonts w:hint="eastAsia"/>
        </w:rPr>
        <w:t>电解二氧化锰生命周期系统边界内各生产单元的温室气体排放源</w:t>
      </w:r>
      <w:bookmarkEnd w:id="153"/>
      <w:bookmarkEnd w:id="154"/>
      <w:bookmarkEnd w:id="155"/>
    </w:p>
    <w:p w14:paraId="32179F15">
      <w:pPr>
        <w:pStyle w:val="56"/>
        <w:ind w:firstLine="420"/>
      </w:pPr>
      <w:r>
        <w:rPr>
          <w:rFonts w:hint="eastAsia"/>
        </w:rPr>
        <w:t>电解二氧化锰生命周期系统边界内各生产单元的温室气体排放源见表A.1-表A.9。</w:t>
      </w:r>
    </w:p>
    <w:p w14:paraId="5682822A">
      <w:pPr>
        <w:pStyle w:val="77"/>
        <w:spacing w:before="120" w:after="120"/>
      </w:pPr>
      <w:r>
        <w:rPr>
          <w:rFonts w:hint="eastAsia"/>
        </w:rPr>
        <w:t>研磨单元温室气体排放源</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69DF19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14:paraId="67C86923">
            <w:pPr>
              <w:pStyle w:val="178"/>
            </w:pPr>
            <w:r>
              <w:rPr>
                <w:rFonts w:hint="eastAsia"/>
              </w:rPr>
              <w:t>排放类别</w:t>
            </w:r>
          </w:p>
        </w:tc>
        <w:tc>
          <w:tcPr>
            <w:tcW w:w="4667" w:type="dxa"/>
            <w:tcBorders>
              <w:top w:val="single" w:color="auto" w:sz="8" w:space="0"/>
              <w:bottom w:val="single" w:color="auto" w:sz="8" w:space="0"/>
            </w:tcBorders>
            <w:vAlign w:val="center"/>
          </w:tcPr>
          <w:p w14:paraId="0E76426D">
            <w:pPr>
              <w:pStyle w:val="178"/>
            </w:pPr>
            <w:r>
              <w:rPr>
                <w:rFonts w:hint="eastAsia"/>
              </w:rPr>
              <w:t>排放源</w:t>
            </w:r>
          </w:p>
        </w:tc>
      </w:tr>
      <w:tr w14:paraId="793760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vAlign w:val="center"/>
          </w:tcPr>
          <w:p w14:paraId="2EEF9A43">
            <w:pPr>
              <w:pStyle w:val="178"/>
            </w:pPr>
            <w:r>
              <w:rPr>
                <w:rFonts w:hint="eastAsia"/>
              </w:rPr>
              <w:t>燃料燃烧排放</w:t>
            </w:r>
          </w:p>
        </w:tc>
        <w:tc>
          <w:tcPr>
            <w:tcW w:w="4667" w:type="dxa"/>
            <w:tcBorders>
              <w:top w:val="single" w:color="auto" w:sz="8" w:space="0"/>
            </w:tcBorders>
            <w:vAlign w:val="center"/>
          </w:tcPr>
          <w:p w14:paraId="38FDBC8E">
            <w:pPr>
              <w:pStyle w:val="178"/>
              <w:jc w:val="both"/>
            </w:pPr>
            <w:r>
              <w:rPr>
                <w:rFonts w:hint="eastAsia"/>
                <w:spacing w:val="-2"/>
              </w:rPr>
              <w:t>移动设备中的化石燃料燃烧(例如运输卡车、辅助车辆)。</w:t>
            </w:r>
          </w:p>
        </w:tc>
      </w:tr>
      <w:tr w14:paraId="1A9FD3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5C823662">
            <w:pPr>
              <w:pStyle w:val="178"/>
            </w:pPr>
            <w:r>
              <w:rPr>
                <w:rFonts w:hint="eastAsia"/>
              </w:rPr>
              <w:t>能源相关排放</w:t>
            </w:r>
          </w:p>
        </w:tc>
        <w:tc>
          <w:tcPr>
            <w:tcW w:w="4667" w:type="dxa"/>
            <w:vAlign w:val="center"/>
          </w:tcPr>
          <w:p w14:paraId="0A6D353B">
            <w:pPr>
              <w:pStyle w:val="178"/>
              <w:jc w:val="both"/>
            </w:pPr>
            <w:r>
              <w:rPr>
                <w:rFonts w:hint="eastAsia"/>
                <w:spacing w:val="-2"/>
              </w:rPr>
              <w:t>购买或自备电力。</w:t>
            </w:r>
          </w:p>
        </w:tc>
      </w:tr>
      <w:tr w14:paraId="108AC4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00920D7C">
            <w:pPr>
              <w:pStyle w:val="178"/>
            </w:pPr>
            <w:r>
              <w:rPr>
                <w:rFonts w:hint="eastAsia"/>
              </w:rPr>
              <w:t>其他排放</w:t>
            </w:r>
          </w:p>
        </w:tc>
        <w:tc>
          <w:tcPr>
            <w:tcW w:w="4667" w:type="dxa"/>
            <w:vAlign w:val="center"/>
          </w:tcPr>
          <w:p w14:paraId="7E1BEE1D">
            <w:pPr>
              <w:pStyle w:val="178"/>
              <w:jc w:val="both"/>
            </w:pPr>
            <w:r>
              <w:rPr>
                <w:rFonts w:hint="eastAsia"/>
                <w:spacing w:val="-2"/>
              </w:rPr>
              <w:t>上游原辅材料生产、运输排放等。</w:t>
            </w:r>
          </w:p>
        </w:tc>
      </w:tr>
    </w:tbl>
    <w:p w14:paraId="36AE9705">
      <w:pPr>
        <w:pStyle w:val="77"/>
        <w:spacing w:before="120" w:after="120"/>
      </w:pPr>
      <w:r>
        <w:rPr>
          <w:rFonts w:hint="eastAsia"/>
        </w:rPr>
        <w:t>焙烧单元温室气体排放源</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7D3AA4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14:paraId="62E45AA7">
            <w:pPr>
              <w:pStyle w:val="178"/>
            </w:pPr>
            <w:r>
              <w:rPr>
                <w:rFonts w:hint="eastAsia"/>
              </w:rPr>
              <w:t>排放类别</w:t>
            </w:r>
          </w:p>
        </w:tc>
        <w:tc>
          <w:tcPr>
            <w:tcW w:w="4667" w:type="dxa"/>
            <w:tcBorders>
              <w:top w:val="single" w:color="auto" w:sz="8" w:space="0"/>
              <w:bottom w:val="single" w:color="auto" w:sz="8" w:space="0"/>
            </w:tcBorders>
            <w:vAlign w:val="center"/>
          </w:tcPr>
          <w:p w14:paraId="6D76AF94">
            <w:pPr>
              <w:pStyle w:val="178"/>
            </w:pPr>
            <w:r>
              <w:rPr>
                <w:rFonts w:hint="eastAsia"/>
              </w:rPr>
              <w:t>排放源</w:t>
            </w:r>
          </w:p>
        </w:tc>
      </w:tr>
      <w:tr w14:paraId="5CAA5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vAlign w:val="center"/>
          </w:tcPr>
          <w:p w14:paraId="4DCE0CAC">
            <w:pPr>
              <w:pStyle w:val="178"/>
            </w:pPr>
            <w:r>
              <w:rPr>
                <w:rFonts w:hint="eastAsia"/>
              </w:rPr>
              <w:t>生产过程排放</w:t>
            </w:r>
          </w:p>
        </w:tc>
        <w:tc>
          <w:tcPr>
            <w:tcW w:w="4667" w:type="dxa"/>
            <w:tcBorders>
              <w:top w:val="single" w:color="auto" w:sz="8" w:space="0"/>
            </w:tcBorders>
            <w:vAlign w:val="center"/>
          </w:tcPr>
          <w:p w14:paraId="74C8F6A0">
            <w:pPr>
              <w:pStyle w:val="178"/>
              <w:jc w:val="both"/>
              <w:rPr>
                <w:spacing w:val="-2"/>
              </w:rPr>
            </w:pPr>
            <w:r>
              <w:rPr>
                <w:rFonts w:hint="eastAsia"/>
                <w:spacing w:val="-2"/>
              </w:rPr>
              <w:t>原料中碳酸盐煅烧分解。</w:t>
            </w:r>
          </w:p>
        </w:tc>
      </w:tr>
      <w:tr w14:paraId="369C97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vAlign w:val="center"/>
          </w:tcPr>
          <w:p w14:paraId="0DF18181">
            <w:pPr>
              <w:pStyle w:val="178"/>
            </w:pPr>
            <w:r>
              <w:rPr>
                <w:rFonts w:hint="eastAsia"/>
              </w:rPr>
              <w:t>燃料燃烧排放</w:t>
            </w:r>
          </w:p>
        </w:tc>
        <w:tc>
          <w:tcPr>
            <w:tcW w:w="4667" w:type="dxa"/>
            <w:tcBorders>
              <w:top w:val="single" w:color="auto" w:sz="8" w:space="0"/>
            </w:tcBorders>
            <w:vAlign w:val="center"/>
          </w:tcPr>
          <w:p w14:paraId="0501F18E">
            <w:pPr>
              <w:pStyle w:val="178"/>
              <w:jc w:val="both"/>
            </w:pPr>
            <w:r>
              <w:rPr>
                <w:rFonts w:hint="eastAsia"/>
                <w:spacing w:val="-2"/>
              </w:rPr>
              <w:t>焙烧窑燃料燃烧。</w:t>
            </w:r>
          </w:p>
        </w:tc>
      </w:tr>
      <w:tr w14:paraId="30EFAC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3061455D">
            <w:pPr>
              <w:pStyle w:val="178"/>
            </w:pPr>
            <w:r>
              <w:rPr>
                <w:rFonts w:hint="eastAsia"/>
              </w:rPr>
              <w:t>能源相关排放</w:t>
            </w:r>
          </w:p>
        </w:tc>
        <w:tc>
          <w:tcPr>
            <w:tcW w:w="4667" w:type="dxa"/>
            <w:vAlign w:val="center"/>
          </w:tcPr>
          <w:p w14:paraId="1EAEBF5A">
            <w:pPr>
              <w:pStyle w:val="178"/>
              <w:jc w:val="both"/>
            </w:pPr>
            <w:r>
              <w:rPr>
                <w:rFonts w:hint="eastAsia"/>
                <w:spacing w:val="-2"/>
              </w:rPr>
              <w:t>购买或自备电力。</w:t>
            </w:r>
          </w:p>
        </w:tc>
      </w:tr>
      <w:tr w14:paraId="3E58F1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75C7C44B">
            <w:pPr>
              <w:pStyle w:val="178"/>
            </w:pPr>
            <w:r>
              <w:rPr>
                <w:rFonts w:hint="eastAsia"/>
              </w:rPr>
              <w:t>其他排放</w:t>
            </w:r>
          </w:p>
        </w:tc>
        <w:tc>
          <w:tcPr>
            <w:tcW w:w="4667" w:type="dxa"/>
            <w:vAlign w:val="center"/>
          </w:tcPr>
          <w:p w14:paraId="0BC276EC">
            <w:pPr>
              <w:pStyle w:val="178"/>
              <w:jc w:val="both"/>
            </w:pPr>
            <w:r>
              <w:rPr>
                <w:rFonts w:hint="eastAsia"/>
                <w:spacing w:val="-2"/>
              </w:rPr>
              <w:t>上游原辅材料、燃料生产，运输排放，尾气处理排放等。</w:t>
            </w:r>
          </w:p>
        </w:tc>
      </w:tr>
    </w:tbl>
    <w:p w14:paraId="7522B92F">
      <w:pPr>
        <w:pStyle w:val="77"/>
        <w:spacing w:before="120" w:after="120"/>
      </w:pPr>
      <w:r>
        <w:rPr>
          <w:rFonts w:hint="eastAsia"/>
        </w:rPr>
        <w:t>化合单元温室气体排放源</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000564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14:paraId="502729A6">
            <w:pPr>
              <w:pStyle w:val="178"/>
            </w:pPr>
            <w:r>
              <w:rPr>
                <w:rFonts w:hint="eastAsia"/>
              </w:rPr>
              <w:t>排放类别</w:t>
            </w:r>
          </w:p>
        </w:tc>
        <w:tc>
          <w:tcPr>
            <w:tcW w:w="4667" w:type="dxa"/>
            <w:tcBorders>
              <w:top w:val="single" w:color="auto" w:sz="8" w:space="0"/>
              <w:bottom w:val="single" w:color="auto" w:sz="8" w:space="0"/>
            </w:tcBorders>
            <w:vAlign w:val="center"/>
          </w:tcPr>
          <w:p w14:paraId="09759C9A">
            <w:pPr>
              <w:pStyle w:val="178"/>
            </w:pPr>
            <w:r>
              <w:rPr>
                <w:rFonts w:hint="eastAsia"/>
              </w:rPr>
              <w:t>排放源</w:t>
            </w:r>
          </w:p>
        </w:tc>
      </w:tr>
      <w:tr w14:paraId="3A2692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vAlign w:val="center"/>
          </w:tcPr>
          <w:p w14:paraId="69EDC1A4">
            <w:pPr>
              <w:pStyle w:val="178"/>
            </w:pPr>
            <w:r>
              <w:rPr>
                <w:rFonts w:hint="eastAsia"/>
              </w:rPr>
              <w:t>生产过程排放</w:t>
            </w:r>
          </w:p>
        </w:tc>
        <w:tc>
          <w:tcPr>
            <w:tcW w:w="4667" w:type="dxa"/>
            <w:tcBorders>
              <w:top w:val="single" w:color="auto" w:sz="8" w:space="0"/>
            </w:tcBorders>
            <w:vAlign w:val="center"/>
          </w:tcPr>
          <w:p w14:paraId="612A986E">
            <w:pPr>
              <w:pStyle w:val="178"/>
              <w:jc w:val="both"/>
            </w:pPr>
            <w:r>
              <w:rPr>
                <w:rFonts w:hint="eastAsia"/>
              </w:rPr>
              <w:t>原辅料中碳酸盐分解。</w:t>
            </w:r>
          </w:p>
        </w:tc>
      </w:tr>
      <w:tr w14:paraId="5643A4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74C45B83">
            <w:pPr>
              <w:pStyle w:val="178"/>
            </w:pPr>
            <w:r>
              <w:rPr>
                <w:rFonts w:hint="eastAsia"/>
              </w:rPr>
              <w:t>能源相关排放</w:t>
            </w:r>
          </w:p>
        </w:tc>
        <w:tc>
          <w:tcPr>
            <w:tcW w:w="4667" w:type="dxa"/>
            <w:vAlign w:val="center"/>
          </w:tcPr>
          <w:p w14:paraId="2BF7A362">
            <w:pPr>
              <w:pStyle w:val="178"/>
              <w:jc w:val="both"/>
            </w:pPr>
            <w:r>
              <w:rPr>
                <w:rFonts w:hint="eastAsia"/>
                <w:spacing w:val="-2"/>
              </w:rPr>
              <w:t>购买或自备电力、热力。</w:t>
            </w:r>
          </w:p>
        </w:tc>
      </w:tr>
      <w:tr w14:paraId="1216BA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7C0D30D4">
            <w:pPr>
              <w:pStyle w:val="178"/>
            </w:pPr>
            <w:r>
              <w:rPr>
                <w:rFonts w:hint="eastAsia"/>
              </w:rPr>
              <w:t>其他排放</w:t>
            </w:r>
          </w:p>
        </w:tc>
        <w:tc>
          <w:tcPr>
            <w:tcW w:w="4667" w:type="dxa"/>
            <w:vAlign w:val="center"/>
          </w:tcPr>
          <w:p w14:paraId="21173346">
            <w:pPr>
              <w:pStyle w:val="178"/>
              <w:jc w:val="both"/>
            </w:pPr>
            <w:r>
              <w:rPr>
                <w:rFonts w:hint="eastAsia" w:hAnsi="宋体"/>
                <w:spacing w:val="-2"/>
                <w:sz w:val="17"/>
                <w:szCs w:val="17"/>
              </w:rPr>
              <w:t>上游原辅材料生产、运输排放，压滤渣处理排放等。</w:t>
            </w:r>
          </w:p>
        </w:tc>
      </w:tr>
    </w:tbl>
    <w:p w14:paraId="0CFBCC8F">
      <w:pPr>
        <w:pStyle w:val="77"/>
        <w:spacing w:before="120" w:after="120"/>
      </w:pPr>
      <w:r>
        <w:rPr>
          <w:rFonts w:hint="eastAsia"/>
        </w:rPr>
        <w:t>净化单元温室气体排放源</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1B3B65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14:paraId="32E34A50">
            <w:pPr>
              <w:pStyle w:val="178"/>
            </w:pPr>
            <w:r>
              <w:rPr>
                <w:rFonts w:hint="eastAsia"/>
              </w:rPr>
              <w:t>排放类别</w:t>
            </w:r>
          </w:p>
        </w:tc>
        <w:tc>
          <w:tcPr>
            <w:tcW w:w="4667" w:type="dxa"/>
            <w:tcBorders>
              <w:top w:val="single" w:color="auto" w:sz="8" w:space="0"/>
              <w:bottom w:val="single" w:color="auto" w:sz="8" w:space="0"/>
            </w:tcBorders>
            <w:vAlign w:val="center"/>
          </w:tcPr>
          <w:p w14:paraId="54A6BA06">
            <w:pPr>
              <w:pStyle w:val="178"/>
            </w:pPr>
            <w:r>
              <w:rPr>
                <w:rFonts w:hint="eastAsia"/>
              </w:rPr>
              <w:t>排放源</w:t>
            </w:r>
          </w:p>
        </w:tc>
      </w:tr>
      <w:tr w14:paraId="6CA2D2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vAlign w:val="center"/>
          </w:tcPr>
          <w:p w14:paraId="50B7799B">
            <w:pPr>
              <w:pStyle w:val="178"/>
            </w:pPr>
            <w:r>
              <w:rPr>
                <w:rFonts w:hint="eastAsia"/>
              </w:rPr>
              <w:t>能源相关排放</w:t>
            </w:r>
          </w:p>
        </w:tc>
        <w:tc>
          <w:tcPr>
            <w:tcW w:w="4667" w:type="dxa"/>
            <w:tcBorders>
              <w:top w:val="single" w:color="auto" w:sz="8" w:space="0"/>
            </w:tcBorders>
            <w:vAlign w:val="center"/>
          </w:tcPr>
          <w:p w14:paraId="29C10328">
            <w:pPr>
              <w:pStyle w:val="178"/>
              <w:jc w:val="both"/>
            </w:pPr>
            <w:r>
              <w:rPr>
                <w:rFonts w:hint="eastAsia"/>
                <w:spacing w:val="-2"/>
              </w:rPr>
              <w:t>购买或自备电力。</w:t>
            </w:r>
          </w:p>
        </w:tc>
      </w:tr>
      <w:tr w14:paraId="171AA3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667" w:type="dxa"/>
            <w:vAlign w:val="center"/>
          </w:tcPr>
          <w:p w14:paraId="3D7EB275">
            <w:pPr>
              <w:pStyle w:val="178"/>
            </w:pPr>
            <w:r>
              <w:rPr>
                <w:rFonts w:hint="eastAsia"/>
              </w:rPr>
              <w:t>其他排放</w:t>
            </w:r>
          </w:p>
        </w:tc>
        <w:tc>
          <w:tcPr>
            <w:tcW w:w="4667" w:type="dxa"/>
            <w:vAlign w:val="center"/>
          </w:tcPr>
          <w:p w14:paraId="40910932">
            <w:pPr>
              <w:pStyle w:val="178"/>
              <w:jc w:val="both"/>
            </w:pPr>
            <w:r>
              <w:rPr>
                <w:rFonts w:hint="eastAsia" w:hAnsi="宋体"/>
                <w:spacing w:val="-2"/>
                <w:sz w:val="17"/>
                <w:szCs w:val="17"/>
              </w:rPr>
              <w:t>上游原辅材料生产、运输排放，压滤渣处理排放等。</w:t>
            </w:r>
          </w:p>
        </w:tc>
      </w:tr>
    </w:tbl>
    <w:p w14:paraId="73EED68F">
      <w:pPr>
        <w:pStyle w:val="77"/>
        <w:spacing w:before="120" w:after="120"/>
      </w:pPr>
      <w:r>
        <w:rPr>
          <w:rFonts w:hint="eastAsia"/>
        </w:rPr>
        <w:t>电解单元温室气体排放源</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03C3C8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14:paraId="2CAA10CE">
            <w:pPr>
              <w:pStyle w:val="178"/>
            </w:pPr>
            <w:r>
              <w:rPr>
                <w:rFonts w:hint="eastAsia"/>
              </w:rPr>
              <w:t>排放类别</w:t>
            </w:r>
          </w:p>
        </w:tc>
        <w:tc>
          <w:tcPr>
            <w:tcW w:w="4667" w:type="dxa"/>
            <w:tcBorders>
              <w:top w:val="single" w:color="auto" w:sz="8" w:space="0"/>
              <w:bottom w:val="single" w:color="auto" w:sz="8" w:space="0"/>
            </w:tcBorders>
            <w:vAlign w:val="center"/>
          </w:tcPr>
          <w:p w14:paraId="13537532">
            <w:pPr>
              <w:pStyle w:val="178"/>
            </w:pPr>
            <w:r>
              <w:rPr>
                <w:rFonts w:hint="eastAsia"/>
              </w:rPr>
              <w:t>排放源</w:t>
            </w:r>
          </w:p>
        </w:tc>
      </w:tr>
      <w:tr w14:paraId="6C49C2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vAlign w:val="center"/>
          </w:tcPr>
          <w:p w14:paraId="08E20A23">
            <w:pPr>
              <w:pStyle w:val="178"/>
            </w:pPr>
            <w:r>
              <w:rPr>
                <w:rFonts w:hint="eastAsia"/>
              </w:rPr>
              <w:t>能源相关排放</w:t>
            </w:r>
          </w:p>
        </w:tc>
        <w:tc>
          <w:tcPr>
            <w:tcW w:w="4667" w:type="dxa"/>
            <w:tcBorders>
              <w:top w:val="single" w:color="auto" w:sz="8" w:space="0"/>
            </w:tcBorders>
            <w:vAlign w:val="center"/>
          </w:tcPr>
          <w:p w14:paraId="62AB9A42">
            <w:pPr>
              <w:pStyle w:val="178"/>
              <w:jc w:val="both"/>
            </w:pPr>
            <w:r>
              <w:rPr>
                <w:rFonts w:hint="eastAsia"/>
                <w:spacing w:val="-2"/>
              </w:rPr>
              <w:t>购买或自备电力、热力。</w:t>
            </w:r>
          </w:p>
        </w:tc>
      </w:tr>
      <w:tr w14:paraId="0691E6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64CA957D">
            <w:pPr>
              <w:pStyle w:val="178"/>
            </w:pPr>
            <w:r>
              <w:rPr>
                <w:rFonts w:hint="eastAsia"/>
              </w:rPr>
              <w:t>其他排放</w:t>
            </w:r>
          </w:p>
        </w:tc>
        <w:tc>
          <w:tcPr>
            <w:tcW w:w="4667" w:type="dxa"/>
            <w:vAlign w:val="center"/>
          </w:tcPr>
          <w:p w14:paraId="4AD5C921">
            <w:pPr>
              <w:pStyle w:val="178"/>
              <w:jc w:val="both"/>
            </w:pPr>
            <w:r>
              <w:rPr>
                <w:rFonts w:hint="eastAsia" w:hAnsi="宋体"/>
                <w:spacing w:val="-2"/>
                <w:sz w:val="17"/>
                <w:szCs w:val="17"/>
              </w:rPr>
              <w:t>上游原辅材料生产、运输排放等。</w:t>
            </w:r>
          </w:p>
        </w:tc>
      </w:tr>
    </w:tbl>
    <w:p w14:paraId="263E2193">
      <w:pPr>
        <w:pStyle w:val="77"/>
        <w:spacing w:before="120" w:after="120"/>
      </w:pPr>
      <w:r>
        <w:rPr>
          <w:rFonts w:hint="eastAsia"/>
        </w:rPr>
        <w:t>后处理单元温室气体排放源</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7B368A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14:paraId="389ABDF3">
            <w:pPr>
              <w:pStyle w:val="178"/>
            </w:pPr>
            <w:r>
              <w:rPr>
                <w:rFonts w:hint="eastAsia"/>
              </w:rPr>
              <w:t>排放类别</w:t>
            </w:r>
          </w:p>
        </w:tc>
        <w:tc>
          <w:tcPr>
            <w:tcW w:w="4667" w:type="dxa"/>
            <w:tcBorders>
              <w:top w:val="single" w:color="auto" w:sz="8" w:space="0"/>
              <w:bottom w:val="single" w:color="auto" w:sz="8" w:space="0"/>
            </w:tcBorders>
            <w:vAlign w:val="center"/>
          </w:tcPr>
          <w:p w14:paraId="2375D9F0">
            <w:pPr>
              <w:pStyle w:val="178"/>
            </w:pPr>
            <w:r>
              <w:rPr>
                <w:rFonts w:hint="eastAsia"/>
              </w:rPr>
              <w:t>排放源</w:t>
            </w:r>
          </w:p>
        </w:tc>
      </w:tr>
      <w:tr w14:paraId="67ED77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tcPr>
          <w:p w14:paraId="7672FB6A">
            <w:pPr>
              <w:pStyle w:val="178"/>
            </w:pPr>
            <w:r>
              <w:rPr>
                <w:rFonts w:hint="eastAsia"/>
              </w:rPr>
              <w:t>生产过程排放</w:t>
            </w:r>
          </w:p>
        </w:tc>
        <w:tc>
          <w:tcPr>
            <w:tcW w:w="4667" w:type="dxa"/>
            <w:tcBorders>
              <w:top w:val="single" w:color="auto" w:sz="8" w:space="0"/>
            </w:tcBorders>
            <w:vAlign w:val="center"/>
          </w:tcPr>
          <w:p w14:paraId="3424195B">
            <w:pPr>
              <w:pStyle w:val="178"/>
              <w:jc w:val="both"/>
            </w:pPr>
            <w:r>
              <w:rPr>
                <w:rFonts w:hint="eastAsia"/>
              </w:rPr>
              <w:t>碳酸盐</w:t>
            </w:r>
            <w:r>
              <w:rPr>
                <w:rFonts w:hint="eastAsia"/>
                <w:color w:val="auto"/>
                <w:lang w:val="en-US" w:eastAsia="zh-CN"/>
              </w:rPr>
              <w:t>中和</w:t>
            </w:r>
            <w:r>
              <w:rPr>
                <w:rFonts w:hint="eastAsia"/>
              </w:rPr>
              <w:t>剂分解。</w:t>
            </w:r>
          </w:p>
        </w:tc>
      </w:tr>
      <w:tr w14:paraId="7E091E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1C14E37E">
            <w:pPr>
              <w:pStyle w:val="178"/>
            </w:pPr>
            <w:r>
              <w:rPr>
                <w:rFonts w:hint="eastAsia"/>
              </w:rPr>
              <w:t>能源相关排放</w:t>
            </w:r>
          </w:p>
        </w:tc>
        <w:tc>
          <w:tcPr>
            <w:tcW w:w="4667" w:type="dxa"/>
            <w:vAlign w:val="center"/>
          </w:tcPr>
          <w:p w14:paraId="686822BA">
            <w:pPr>
              <w:pStyle w:val="178"/>
              <w:jc w:val="both"/>
            </w:pPr>
            <w:r>
              <w:rPr>
                <w:rFonts w:hint="eastAsia"/>
                <w:spacing w:val="-2"/>
              </w:rPr>
              <w:t>购买或自备电力、热力。</w:t>
            </w:r>
          </w:p>
        </w:tc>
      </w:tr>
      <w:tr w14:paraId="26B351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3ED58253">
            <w:pPr>
              <w:pStyle w:val="178"/>
            </w:pPr>
            <w:r>
              <w:rPr>
                <w:rFonts w:hint="eastAsia"/>
                <w:spacing w:val="-2"/>
              </w:rPr>
              <w:t>其他排放</w:t>
            </w:r>
          </w:p>
        </w:tc>
        <w:tc>
          <w:tcPr>
            <w:tcW w:w="4667" w:type="dxa"/>
            <w:vAlign w:val="center"/>
          </w:tcPr>
          <w:p w14:paraId="1FF575C2">
            <w:pPr>
              <w:pStyle w:val="178"/>
              <w:jc w:val="both"/>
            </w:pPr>
            <w:r>
              <w:rPr>
                <w:rFonts w:hint="eastAsia" w:hAnsi="宋体"/>
                <w:spacing w:val="-2"/>
                <w:sz w:val="17"/>
                <w:szCs w:val="17"/>
              </w:rPr>
              <w:t>上游原辅材料生产、运输排放，污水处理排放等。</w:t>
            </w:r>
          </w:p>
        </w:tc>
      </w:tr>
    </w:tbl>
    <w:p w14:paraId="484B1E14">
      <w:pPr>
        <w:pStyle w:val="77"/>
        <w:spacing w:before="120" w:after="120"/>
        <w:rPr>
          <w:highlight w:val="none"/>
        </w:rPr>
      </w:pPr>
      <w:r>
        <w:rPr>
          <w:rFonts w:hint="eastAsia"/>
          <w:highlight w:val="none"/>
        </w:rPr>
        <w:t>包装单元温室气体排放源</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395406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4667" w:type="dxa"/>
            <w:tcBorders>
              <w:top w:val="single" w:color="auto" w:sz="8" w:space="0"/>
              <w:bottom w:val="single" w:color="auto" w:sz="8" w:space="0"/>
            </w:tcBorders>
            <w:vAlign w:val="center"/>
          </w:tcPr>
          <w:p w14:paraId="04CDB90A">
            <w:pPr>
              <w:pStyle w:val="178"/>
              <w:rPr>
                <w:highlight w:val="none"/>
              </w:rPr>
            </w:pPr>
            <w:r>
              <w:rPr>
                <w:rFonts w:hint="eastAsia"/>
                <w:highlight w:val="none"/>
              </w:rPr>
              <w:t>排放类别</w:t>
            </w:r>
          </w:p>
        </w:tc>
        <w:tc>
          <w:tcPr>
            <w:tcW w:w="4667" w:type="dxa"/>
            <w:tcBorders>
              <w:top w:val="single" w:color="auto" w:sz="8" w:space="0"/>
              <w:bottom w:val="single" w:color="auto" w:sz="8" w:space="0"/>
            </w:tcBorders>
            <w:vAlign w:val="center"/>
          </w:tcPr>
          <w:p w14:paraId="63406AF4">
            <w:pPr>
              <w:pStyle w:val="178"/>
              <w:rPr>
                <w:highlight w:val="none"/>
              </w:rPr>
            </w:pPr>
            <w:r>
              <w:rPr>
                <w:rFonts w:hint="eastAsia"/>
                <w:highlight w:val="none"/>
              </w:rPr>
              <w:t>排放源</w:t>
            </w:r>
          </w:p>
        </w:tc>
      </w:tr>
      <w:tr w14:paraId="3F2C89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tcPr>
          <w:p w14:paraId="679AAEB4">
            <w:pPr>
              <w:pStyle w:val="178"/>
              <w:rPr>
                <w:highlight w:val="none"/>
              </w:rPr>
            </w:pPr>
            <w:r>
              <w:rPr>
                <w:rFonts w:hint="eastAsia"/>
                <w:spacing w:val="-2"/>
                <w:highlight w:val="none"/>
              </w:rPr>
              <w:t>燃料燃烧排放</w:t>
            </w:r>
          </w:p>
        </w:tc>
        <w:tc>
          <w:tcPr>
            <w:tcW w:w="4667" w:type="dxa"/>
            <w:tcBorders>
              <w:top w:val="single" w:color="auto" w:sz="8" w:space="0"/>
            </w:tcBorders>
            <w:vAlign w:val="center"/>
          </w:tcPr>
          <w:p w14:paraId="342D0BDA">
            <w:pPr>
              <w:pStyle w:val="178"/>
              <w:jc w:val="both"/>
              <w:rPr>
                <w:highlight w:val="none"/>
              </w:rPr>
            </w:pPr>
            <w:r>
              <w:rPr>
                <w:rFonts w:hint="eastAsia"/>
                <w:spacing w:val="-2"/>
                <w:highlight w:val="none"/>
              </w:rPr>
              <w:t>移动设备中的化石燃料燃烧(例如运输卡车、辅助车辆)。</w:t>
            </w:r>
          </w:p>
        </w:tc>
      </w:tr>
    </w:tbl>
    <w:p w14:paraId="2AA6D55F">
      <w:pPr>
        <w:pStyle w:val="56"/>
        <w:pageBreakBefore/>
        <w:spacing w:before="120" w:beforeLines="50" w:after="120" w:afterLines="50"/>
        <w:ind w:firstLine="0" w:firstLineChars="0"/>
        <w:jc w:val="center"/>
        <w:rPr>
          <w:rFonts w:hint="eastAsia" w:ascii="黑体" w:hAnsi="黑体" w:eastAsia="黑体"/>
          <w:highlight w:val="none"/>
        </w:rPr>
      </w:pPr>
      <w:r>
        <w:rPr>
          <w:rFonts w:hint="eastAsia" w:ascii="黑体" w:hAnsi="黑体" w:eastAsia="黑体"/>
          <w:highlight w:val="none"/>
        </w:rPr>
        <w:t>表A.8  包装单元温室气体排放源</w:t>
      </w:r>
      <w:r>
        <w:rPr>
          <w:rFonts w:hint="eastAsia" w:hAnsi="宋体"/>
          <w:highlight w:val="none"/>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64E9FA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5D5478D9">
            <w:pPr>
              <w:pStyle w:val="178"/>
              <w:rPr>
                <w:highlight w:val="none"/>
              </w:rPr>
            </w:pPr>
            <w:r>
              <w:rPr>
                <w:rFonts w:hint="eastAsia"/>
                <w:highlight w:val="none"/>
              </w:rPr>
              <w:t>能源相关排放</w:t>
            </w:r>
          </w:p>
        </w:tc>
        <w:tc>
          <w:tcPr>
            <w:tcW w:w="4667" w:type="dxa"/>
            <w:vAlign w:val="center"/>
          </w:tcPr>
          <w:p w14:paraId="0CAD06C9">
            <w:pPr>
              <w:pStyle w:val="178"/>
              <w:jc w:val="both"/>
              <w:rPr>
                <w:highlight w:val="none"/>
              </w:rPr>
            </w:pPr>
            <w:r>
              <w:rPr>
                <w:rFonts w:hint="eastAsia"/>
                <w:spacing w:val="-2"/>
                <w:highlight w:val="none"/>
              </w:rPr>
              <w:t>购买或自备电力。</w:t>
            </w:r>
          </w:p>
        </w:tc>
      </w:tr>
      <w:tr w14:paraId="6D5DC5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7F362469">
            <w:pPr>
              <w:pStyle w:val="178"/>
              <w:rPr>
                <w:highlight w:val="none"/>
              </w:rPr>
            </w:pPr>
            <w:r>
              <w:rPr>
                <w:rFonts w:hint="eastAsia"/>
                <w:spacing w:val="-2"/>
                <w:highlight w:val="none"/>
              </w:rPr>
              <w:t>其他排放</w:t>
            </w:r>
          </w:p>
        </w:tc>
        <w:tc>
          <w:tcPr>
            <w:tcW w:w="4667" w:type="dxa"/>
            <w:vAlign w:val="center"/>
          </w:tcPr>
          <w:p w14:paraId="5B1FC88E">
            <w:pPr>
              <w:pStyle w:val="178"/>
              <w:jc w:val="both"/>
              <w:rPr>
                <w:highlight w:val="none"/>
              </w:rPr>
            </w:pPr>
            <w:r>
              <w:rPr>
                <w:rFonts w:hint="eastAsia" w:hAnsi="宋体"/>
                <w:spacing w:val="-2"/>
                <w:sz w:val="17"/>
                <w:szCs w:val="17"/>
                <w:highlight w:val="none"/>
              </w:rPr>
              <w:t>游原辅材料生产、运输排放。</w:t>
            </w:r>
          </w:p>
        </w:tc>
      </w:tr>
    </w:tbl>
    <w:p w14:paraId="416FB2FF">
      <w:pPr>
        <w:pStyle w:val="77"/>
        <w:numPr>
          <w:ilvl w:val="1"/>
          <w:numId w:val="0"/>
        </w:numPr>
        <w:spacing w:before="120" w:after="120"/>
        <w:ind w:leftChars="0"/>
        <w:jc w:val="center"/>
      </w:pPr>
      <w:r>
        <w:rPr>
          <w:rFonts w:hint="eastAsia"/>
          <w:lang w:val="en-US" w:eastAsia="zh-CN"/>
        </w:rPr>
        <w:t xml:space="preserve">表A.9  </w:t>
      </w:r>
      <w:r>
        <w:rPr>
          <w:rFonts w:hint="eastAsia"/>
        </w:rPr>
        <w:t>辅助生产单元温室气体排放源</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45F1B0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14:paraId="7532AA4A">
            <w:pPr>
              <w:pStyle w:val="178"/>
            </w:pPr>
            <w:r>
              <w:rPr>
                <w:rFonts w:hint="eastAsia"/>
              </w:rPr>
              <w:t>排放类别</w:t>
            </w:r>
          </w:p>
        </w:tc>
        <w:tc>
          <w:tcPr>
            <w:tcW w:w="4667" w:type="dxa"/>
            <w:tcBorders>
              <w:top w:val="single" w:color="auto" w:sz="8" w:space="0"/>
              <w:bottom w:val="single" w:color="auto" w:sz="8" w:space="0"/>
            </w:tcBorders>
            <w:vAlign w:val="center"/>
          </w:tcPr>
          <w:p w14:paraId="33BBC7ED">
            <w:pPr>
              <w:pStyle w:val="178"/>
            </w:pPr>
            <w:r>
              <w:rPr>
                <w:rFonts w:hint="eastAsia"/>
              </w:rPr>
              <w:t>排放源</w:t>
            </w:r>
          </w:p>
        </w:tc>
      </w:tr>
      <w:tr w14:paraId="47805C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tcPr>
          <w:p w14:paraId="640A43ED">
            <w:pPr>
              <w:pStyle w:val="178"/>
            </w:pPr>
            <w:r>
              <w:rPr>
                <w:rFonts w:hint="eastAsia"/>
                <w:spacing w:val="-2"/>
              </w:rPr>
              <w:t>燃料燃烧排放</w:t>
            </w:r>
          </w:p>
        </w:tc>
        <w:tc>
          <w:tcPr>
            <w:tcW w:w="4667" w:type="dxa"/>
            <w:tcBorders>
              <w:top w:val="single" w:color="auto" w:sz="8" w:space="0"/>
            </w:tcBorders>
            <w:vAlign w:val="center"/>
          </w:tcPr>
          <w:p w14:paraId="78DCBE60">
            <w:pPr>
              <w:pStyle w:val="178"/>
              <w:jc w:val="both"/>
            </w:pPr>
            <w:r>
              <w:rPr>
                <w:rFonts w:hint="eastAsia"/>
                <w:spacing w:val="-2"/>
              </w:rPr>
              <w:t>自备电力、热力生产系统燃料燃烧排放。</w:t>
            </w:r>
          </w:p>
        </w:tc>
      </w:tr>
      <w:tr w14:paraId="727A97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226BEB89">
            <w:pPr>
              <w:pStyle w:val="178"/>
            </w:pPr>
            <w:r>
              <w:rPr>
                <w:rFonts w:hint="eastAsia"/>
              </w:rPr>
              <w:t>能源相关排放</w:t>
            </w:r>
          </w:p>
        </w:tc>
        <w:tc>
          <w:tcPr>
            <w:tcW w:w="4667" w:type="dxa"/>
            <w:vAlign w:val="center"/>
          </w:tcPr>
          <w:p w14:paraId="2137BDD7">
            <w:pPr>
              <w:pStyle w:val="178"/>
              <w:jc w:val="both"/>
            </w:pPr>
            <w:r>
              <w:rPr>
                <w:rFonts w:hint="eastAsia"/>
                <w:spacing w:val="-2"/>
              </w:rPr>
              <w:t>购买或自备电力。</w:t>
            </w:r>
          </w:p>
        </w:tc>
      </w:tr>
      <w:tr w14:paraId="399831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6404A567">
            <w:pPr>
              <w:pStyle w:val="178"/>
            </w:pPr>
            <w:r>
              <w:rPr>
                <w:rFonts w:hint="eastAsia"/>
                <w:spacing w:val="-2"/>
              </w:rPr>
              <w:t>其他排放</w:t>
            </w:r>
          </w:p>
        </w:tc>
        <w:tc>
          <w:tcPr>
            <w:tcW w:w="4667" w:type="dxa"/>
            <w:vAlign w:val="center"/>
          </w:tcPr>
          <w:p w14:paraId="214A4726">
            <w:pPr>
              <w:pStyle w:val="178"/>
              <w:jc w:val="both"/>
            </w:pPr>
            <w:r>
              <w:rPr>
                <w:rFonts w:hint="eastAsia" w:hAnsi="宋体"/>
                <w:spacing w:val="-2"/>
                <w:sz w:val="17"/>
                <w:szCs w:val="17"/>
              </w:rPr>
              <w:t>上游原辅材料、燃料生产，运输排放，废气、废渣处理排放等。</w:t>
            </w:r>
          </w:p>
        </w:tc>
      </w:tr>
    </w:tbl>
    <w:p w14:paraId="1EAC29E4">
      <w:pPr>
        <w:pStyle w:val="56"/>
        <w:ind w:firstLine="420"/>
      </w:pPr>
    </w:p>
    <w:p w14:paraId="4DCFD1C4">
      <w:pPr>
        <w:pStyle w:val="56"/>
        <w:ind w:firstLine="420"/>
      </w:pPr>
    </w:p>
    <w:p w14:paraId="38AF200C">
      <w:pPr>
        <w:pStyle w:val="56"/>
        <w:ind w:firstLine="420"/>
        <w:sectPr>
          <w:pgSz w:w="11906" w:h="16838"/>
          <w:pgMar w:top="1928" w:right="1134" w:bottom="1134" w:left="1134" w:header="1418" w:footer="1134" w:gutter="284"/>
          <w:cols w:space="425" w:num="1"/>
          <w:formProt w:val="0"/>
          <w:docGrid w:linePitch="312" w:charSpace="0"/>
        </w:sectPr>
      </w:pPr>
    </w:p>
    <w:p w14:paraId="316D5004">
      <w:pPr>
        <w:pStyle w:val="198"/>
        <w:rPr>
          <w:rFonts w:hint="eastAsia"/>
          <w:vanish w:val="0"/>
        </w:rPr>
      </w:pPr>
    </w:p>
    <w:p w14:paraId="49A37342">
      <w:pPr>
        <w:pStyle w:val="199"/>
        <w:rPr>
          <w:vanish w:val="0"/>
        </w:rPr>
      </w:pPr>
    </w:p>
    <w:p w14:paraId="1E898199">
      <w:pPr>
        <w:pStyle w:val="76"/>
        <w:spacing w:after="120"/>
      </w:pPr>
      <w:bookmarkStart w:id="156" w:name="_Toc3128"/>
      <w:r>
        <w:br w:type="textWrapping"/>
      </w:r>
      <w:bookmarkStart w:id="157" w:name="_Toc219754400"/>
      <w:bookmarkStart w:id="158" w:name="_Toc219754436"/>
      <w:r>
        <w:rPr>
          <w:rFonts w:hint="eastAsia"/>
        </w:rPr>
        <w:t>（资料性）</w:t>
      </w:r>
      <w:r>
        <w:br w:type="textWrapping"/>
      </w:r>
      <w:r>
        <w:rPr>
          <w:rFonts w:hint="eastAsia"/>
        </w:rPr>
        <w:t>电解二氧化锰生命周期系统边界内生产工艺流程图示例</w:t>
      </w:r>
      <w:bookmarkEnd w:id="156"/>
      <w:bookmarkEnd w:id="157"/>
      <w:bookmarkEnd w:id="158"/>
    </w:p>
    <w:p w14:paraId="1C3D7D29">
      <w:pPr>
        <w:pStyle w:val="56"/>
        <w:ind w:firstLine="420"/>
      </w:pPr>
      <w:r>
        <w:rPr>
          <w:rFonts w:hint="eastAsia"/>
        </w:rPr>
        <w:t>电解二氧化锰生命周期系统边界内，生产工艺根据锰矿石种类及其处理方法，可分为碳酸锰矿浸出法、两矿一步法和焙烧法，工艺流程图见图B.1-图B.3。</w:t>
      </w:r>
    </w:p>
    <w:p w14:paraId="2F362FFD">
      <w:pPr>
        <w:pStyle w:val="56"/>
        <w:ind w:firstLine="0" w:firstLineChars="0"/>
        <w:jc w:val="center"/>
      </w:pPr>
      <w:r>
        <w:drawing>
          <wp:inline distT="0" distB="0" distL="114300" distR="114300">
            <wp:extent cx="2645410" cy="3503295"/>
            <wp:effectExtent l="0" t="0" r="2540" b="190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6"/>
                    <a:stretch>
                      <a:fillRect/>
                    </a:stretch>
                  </pic:blipFill>
                  <pic:spPr>
                    <a:xfrm>
                      <a:off x="0" y="0"/>
                      <a:ext cx="2645410" cy="3503295"/>
                    </a:xfrm>
                    <a:prstGeom prst="rect">
                      <a:avLst/>
                    </a:prstGeom>
                    <a:noFill/>
                    <a:ln>
                      <a:noFill/>
                    </a:ln>
                  </pic:spPr>
                </pic:pic>
              </a:graphicData>
            </a:graphic>
          </wp:inline>
        </w:drawing>
      </w:r>
    </w:p>
    <w:p w14:paraId="1511A2F7">
      <w:pPr>
        <w:pStyle w:val="83"/>
        <w:spacing w:before="120" w:after="120"/>
      </w:pPr>
      <w:r>
        <w:rPr>
          <w:rFonts w:hint="eastAsia"/>
        </w:rPr>
        <w:t>碳酸锰法电解二氧化锰生产工艺全流程图</w:t>
      </w:r>
    </w:p>
    <w:p w14:paraId="60A5A788">
      <w:pPr>
        <w:pStyle w:val="56"/>
        <w:ind w:firstLine="0" w:firstLineChars="0"/>
        <w:jc w:val="center"/>
      </w:pPr>
      <w:r>
        <w:drawing>
          <wp:inline distT="0" distB="0" distL="114300" distR="114300">
            <wp:extent cx="2871470" cy="3171190"/>
            <wp:effectExtent l="0" t="0" r="5080" b="1016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7"/>
                    <a:stretch>
                      <a:fillRect/>
                    </a:stretch>
                  </pic:blipFill>
                  <pic:spPr>
                    <a:xfrm>
                      <a:off x="0" y="0"/>
                      <a:ext cx="2871470" cy="3171190"/>
                    </a:xfrm>
                    <a:prstGeom prst="rect">
                      <a:avLst/>
                    </a:prstGeom>
                    <a:noFill/>
                    <a:ln>
                      <a:noFill/>
                    </a:ln>
                  </pic:spPr>
                </pic:pic>
              </a:graphicData>
            </a:graphic>
          </wp:inline>
        </w:drawing>
      </w:r>
    </w:p>
    <w:p w14:paraId="4E190963">
      <w:pPr>
        <w:pStyle w:val="83"/>
        <w:spacing w:before="120" w:after="120"/>
      </w:pPr>
      <w:r>
        <w:rPr>
          <w:rFonts w:hint="eastAsia"/>
        </w:rPr>
        <w:t>两矿一步法电解二氧化锰生产工艺全流程图</w:t>
      </w:r>
    </w:p>
    <w:p w14:paraId="3189F3E8">
      <w:pPr>
        <w:pStyle w:val="56"/>
        <w:ind w:firstLine="0" w:firstLineChars="0"/>
        <w:jc w:val="center"/>
      </w:pPr>
      <w:r>
        <w:drawing>
          <wp:inline distT="0" distB="0" distL="114300" distR="114300">
            <wp:extent cx="3362325" cy="3868420"/>
            <wp:effectExtent l="0" t="0" r="9525" b="1778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8"/>
                    <a:stretch>
                      <a:fillRect/>
                    </a:stretch>
                  </pic:blipFill>
                  <pic:spPr>
                    <a:xfrm>
                      <a:off x="0" y="0"/>
                      <a:ext cx="3362325" cy="3868420"/>
                    </a:xfrm>
                    <a:prstGeom prst="rect">
                      <a:avLst/>
                    </a:prstGeom>
                    <a:noFill/>
                    <a:ln>
                      <a:noFill/>
                    </a:ln>
                  </pic:spPr>
                </pic:pic>
              </a:graphicData>
            </a:graphic>
          </wp:inline>
        </w:drawing>
      </w:r>
    </w:p>
    <w:p w14:paraId="145ED610">
      <w:pPr>
        <w:pStyle w:val="83"/>
        <w:spacing w:before="120" w:after="120"/>
      </w:pPr>
      <w:r>
        <w:rPr>
          <w:rFonts w:hint="eastAsia"/>
        </w:rPr>
        <w:t>焙烧法电解二氧化锰生产工艺全流程图</w:t>
      </w:r>
    </w:p>
    <w:p w14:paraId="1546E1EE">
      <w:pPr>
        <w:pStyle w:val="56"/>
        <w:ind w:firstLine="420"/>
        <w:sectPr>
          <w:pgSz w:w="11906" w:h="16838"/>
          <w:pgMar w:top="1928" w:right="1134" w:bottom="1134" w:left="1134" w:header="1418" w:footer="1134" w:gutter="284"/>
          <w:cols w:space="425" w:num="1"/>
          <w:formProt w:val="0"/>
          <w:docGrid w:linePitch="312" w:charSpace="0"/>
        </w:sectPr>
      </w:pPr>
    </w:p>
    <w:p w14:paraId="5B563130">
      <w:pPr>
        <w:pStyle w:val="198"/>
        <w:rPr>
          <w:rFonts w:hint="eastAsia"/>
          <w:vanish w:val="0"/>
        </w:rPr>
      </w:pPr>
    </w:p>
    <w:p w14:paraId="14A9F474">
      <w:pPr>
        <w:pStyle w:val="199"/>
        <w:rPr>
          <w:vanish w:val="0"/>
        </w:rPr>
      </w:pPr>
    </w:p>
    <w:p w14:paraId="5713BCD6">
      <w:pPr>
        <w:pStyle w:val="76"/>
        <w:spacing w:after="120"/>
      </w:pPr>
      <w:bookmarkStart w:id="159" w:name="_Toc26455"/>
      <w:r>
        <w:br w:type="textWrapping"/>
      </w:r>
      <w:bookmarkStart w:id="160" w:name="_Toc219754401"/>
      <w:bookmarkStart w:id="161" w:name="_Toc219754437"/>
      <w:r>
        <w:rPr>
          <w:rFonts w:hint="eastAsia"/>
        </w:rPr>
        <w:t>（资料性）</w:t>
      </w:r>
      <w:r>
        <w:br w:type="textWrapping"/>
      </w:r>
      <w:r>
        <w:rPr>
          <w:rFonts w:hint="eastAsia"/>
        </w:rPr>
        <w:t>电解二氧化锰碳足迹量化数据收集表</w:t>
      </w:r>
      <w:bookmarkEnd w:id="159"/>
      <w:bookmarkEnd w:id="160"/>
      <w:bookmarkEnd w:id="161"/>
    </w:p>
    <w:p w14:paraId="2B404E83">
      <w:pPr>
        <w:pStyle w:val="211"/>
      </w:pPr>
      <w:r>
        <w:rPr>
          <w:rFonts w:hint="eastAsia"/>
        </w:rPr>
        <w:t>现场数据采集表见表C.1。</w:t>
      </w:r>
    </w:p>
    <w:p w14:paraId="5D10B93A">
      <w:pPr>
        <w:pStyle w:val="77"/>
        <w:spacing w:before="120" w:after="120"/>
      </w:pPr>
      <w:r>
        <w:rPr>
          <w:rFonts w:hint="eastAsia"/>
        </w:rPr>
        <w:t>现场数据采集表</w:t>
      </w:r>
    </w:p>
    <w:tbl>
      <w:tblPr>
        <w:tblStyle w:val="23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1"/>
        <w:gridCol w:w="1335"/>
        <w:gridCol w:w="655"/>
        <w:gridCol w:w="495"/>
        <w:gridCol w:w="331"/>
        <w:gridCol w:w="331"/>
        <w:gridCol w:w="1785"/>
        <w:gridCol w:w="1946"/>
        <w:gridCol w:w="1224"/>
      </w:tblGrid>
      <w:tr w14:paraId="4D783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restart"/>
            <w:tcBorders>
              <w:top w:val="single" w:color="000000" w:sz="8" w:space="0"/>
              <w:left w:val="single" w:color="000000" w:sz="8" w:space="0"/>
              <w:bottom w:val="nil"/>
              <w:right w:val="single" w:color="000000" w:sz="4" w:space="0"/>
            </w:tcBorders>
            <w:vAlign w:val="center"/>
          </w:tcPr>
          <w:p w14:paraId="16E1978F">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基本信息</w:t>
            </w:r>
          </w:p>
        </w:tc>
        <w:tc>
          <w:tcPr>
            <w:tcW w:w="1061" w:type="pct"/>
            <w:gridSpan w:val="2"/>
            <w:tcBorders>
              <w:top w:val="single" w:color="000000" w:sz="8" w:space="0"/>
              <w:left w:val="single" w:color="000000" w:sz="4" w:space="0"/>
              <w:bottom w:val="single" w:color="000000" w:sz="4" w:space="0"/>
              <w:right w:val="single" w:color="000000" w:sz="4" w:space="0"/>
            </w:tcBorders>
            <w:vAlign w:val="center"/>
          </w:tcPr>
          <w:p w14:paraId="67801141">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企业名称</w:t>
            </w:r>
          </w:p>
        </w:tc>
        <w:tc>
          <w:tcPr>
            <w:tcW w:w="3261" w:type="pct"/>
            <w:gridSpan w:val="6"/>
            <w:tcBorders>
              <w:top w:val="single" w:color="000000" w:sz="8" w:space="0"/>
              <w:left w:val="single" w:color="000000" w:sz="4" w:space="0"/>
              <w:bottom w:val="single" w:color="000000" w:sz="4" w:space="0"/>
              <w:right w:val="single" w:color="000000" w:sz="8" w:space="0"/>
            </w:tcBorders>
            <w:vAlign w:val="center"/>
          </w:tcPr>
          <w:p w14:paraId="3722CF51">
            <w:pPr>
              <w:widowControl/>
              <w:autoSpaceDE w:val="0"/>
              <w:autoSpaceDN w:val="0"/>
              <w:adjustRightInd/>
              <w:spacing w:line="240" w:lineRule="auto"/>
              <w:jc w:val="center"/>
              <w:rPr>
                <w:rFonts w:ascii="宋体" w:hAnsi="Times New Roman" w:eastAsia="Times New Roman"/>
                <w:kern w:val="0"/>
                <w:sz w:val="18"/>
                <w:szCs w:val="18"/>
              </w:rPr>
            </w:pPr>
          </w:p>
        </w:tc>
      </w:tr>
      <w:tr w14:paraId="6D94E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single" w:color="000000" w:sz="4" w:space="0"/>
              <w:left w:val="single" w:color="000000" w:sz="8" w:space="0"/>
              <w:bottom w:val="nil"/>
              <w:right w:val="single" w:color="000000" w:sz="4" w:space="0"/>
            </w:tcBorders>
            <w:vAlign w:val="center"/>
          </w:tcPr>
          <w:p w14:paraId="17986A1A">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4D2B1F4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企业所属省份</w:t>
            </w:r>
          </w:p>
        </w:tc>
        <w:tc>
          <w:tcPr>
            <w:tcW w:w="3261" w:type="pct"/>
            <w:gridSpan w:val="6"/>
            <w:tcBorders>
              <w:top w:val="single" w:color="000000" w:sz="4" w:space="0"/>
              <w:left w:val="single" w:color="000000" w:sz="4" w:space="0"/>
              <w:bottom w:val="single" w:color="000000" w:sz="4" w:space="0"/>
              <w:right w:val="single" w:color="000000" w:sz="8" w:space="0"/>
            </w:tcBorders>
            <w:vAlign w:val="center"/>
          </w:tcPr>
          <w:p w14:paraId="0A5B59E9">
            <w:pPr>
              <w:widowControl/>
              <w:autoSpaceDE w:val="0"/>
              <w:autoSpaceDN w:val="0"/>
              <w:adjustRightInd/>
              <w:spacing w:line="240" w:lineRule="auto"/>
              <w:jc w:val="center"/>
              <w:rPr>
                <w:rFonts w:ascii="宋体" w:hAnsi="Times New Roman" w:eastAsia="Times New Roman"/>
                <w:kern w:val="0"/>
                <w:sz w:val="18"/>
                <w:szCs w:val="18"/>
              </w:rPr>
            </w:pPr>
          </w:p>
        </w:tc>
      </w:tr>
      <w:tr w14:paraId="06C4C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single" w:color="000000" w:sz="4" w:space="0"/>
              <w:left w:val="single" w:color="000000" w:sz="8" w:space="0"/>
              <w:bottom w:val="nil"/>
              <w:right w:val="single" w:color="000000" w:sz="4" w:space="0"/>
            </w:tcBorders>
            <w:vAlign w:val="center"/>
          </w:tcPr>
          <w:p w14:paraId="04DB4DF9">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6C4B08EB">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企业地址</w:t>
            </w:r>
          </w:p>
        </w:tc>
        <w:tc>
          <w:tcPr>
            <w:tcW w:w="3261" w:type="pct"/>
            <w:gridSpan w:val="6"/>
            <w:tcBorders>
              <w:top w:val="single" w:color="000000" w:sz="4" w:space="0"/>
              <w:left w:val="single" w:color="000000" w:sz="4" w:space="0"/>
              <w:bottom w:val="single" w:color="000000" w:sz="4" w:space="0"/>
              <w:right w:val="single" w:color="000000" w:sz="8" w:space="0"/>
            </w:tcBorders>
            <w:vAlign w:val="center"/>
          </w:tcPr>
          <w:p w14:paraId="15A219CF">
            <w:pPr>
              <w:widowControl/>
              <w:autoSpaceDE w:val="0"/>
              <w:autoSpaceDN w:val="0"/>
              <w:adjustRightInd/>
              <w:spacing w:line="240" w:lineRule="auto"/>
              <w:jc w:val="center"/>
              <w:rPr>
                <w:rFonts w:ascii="宋体" w:hAnsi="Times New Roman" w:eastAsia="Times New Roman"/>
                <w:kern w:val="0"/>
                <w:sz w:val="18"/>
                <w:szCs w:val="18"/>
              </w:rPr>
            </w:pPr>
          </w:p>
        </w:tc>
      </w:tr>
      <w:tr w14:paraId="030CB3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single" w:color="000000" w:sz="4" w:space="0"/>
              <w:left w:val="single" w:color="000000" w:sz="8" w:space="0"/>
              <w:bottom w:val="nil"/>
              <w:right w:val="single" w:color="000000" w:sz="4" w:space="0"/>
            </w:tcBorders>
            <w:vAlign w:val="center"/>
          </w:tcPr>
          <w:p w14:paraId="45F3C474">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33C465A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联系人及联系方式</w:t>
            </w:r>
          </w:p>
        </w:tc>
        <w:tc>
          <w:tcPr>
            <w:tcW w:w="3261" w:type="pct"/>
            <w:gridSpan w:val="6"/>
            <w:tcBorders>
              <w:top w:val="single" w:color="000000" w:sz="4" w:space="0"/>
              <w:left w:val="single" w:color="000000" w:sz="4" w:space="0"/>
              <w:bottom w:val="single" w:color="000000" w:sz="4" w:space="0"/>
              <w:right w:val="single" w:color="000000" w:sz="8" w:space="0"/>
            </w:tcBorders>
            <w:vAlign w:val="center"/>
          </w:tcPr>
          <w:p w14:paraId="107C13B5">
            <w:pPr>
              <w:widowControl/>
              <w:autoSpaceDE w:val="0"/>
              <w:autoSpaceDN w:val="0"/>
              <w:adjustRightInd/>
              <w:spacing w:line="240" w:lineRule="auto"/>
              <w:jc w:val="center"/>
              <w:rPr>
                <w:rFonts w:ascii="宋体" w:hAnsi="Times New Roman" w:eastAsia="Times New Roman"/>
                <w:kern w:val="0"/>
                <w:sz w:val="18"/>
                <w:szCs w:val="18"/>
              </w:rPr>
            </w:pPr>
          </w:p>
        </w:tc>
      </w:tr>
      <w:tr w14:paraId="30A7C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single" w:color="000000" w:sz="4" w:space="0"/>
              <w:left w:val="single" w:color="000000" w:sz="8" w:space="0"/>
              <w:bottom w:val="nil"/>
              <w:right w:val="single" w:color="000000" w:sz="4" w:space="0"/>
            </w:tcBorders>
            <w:vAlign w:val="center"/>
          </w:tcPr>
          <w:p w14:paraId="193D4786">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5EED9EB2">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生产线数量</w:t>
            </w:r>
            <w:r>
              <w:rPr>
                <w:rFonts w:hint="eastAsia" w:ascii="宋体" w:hAnsi="Times New Roman" w:eastAsia="Times New Roman"/>
                <w:kern w:val="0"/>
                <w:sz w:val="18"/>
                <w:szCs w:val="18"/>
              </w:rPr>
              <w:t>/设计产能</w:t>
            </w:r>
          </w:p>
        </w:tc>
        <w:tc>
          <w:tcPr>
            <w:tcW w:w="3261" w:type="pct"/>
            <w:gridSpan w:val="6"/>
            <w:tcBorders>
              <w:top w:val="single" w:color="000000" w:sz="4" w:space="0"/>
              <w:left w:val="single" w:color="000000" w:sz="4" w:space="0"/>
              <w:bottom w:val="single" w:color="000000" w:sz="4" w:space="0"/>
              <w:right w:val="single" w:color="000000" w:sz="8" w:space="0"/>
            </w:tcBorders>
            <w:vAlign w:val="center"/>
          </w:tcPr>
          <w:p w14:paraId="5CEDFA4A">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共</w:t>
            </w:r>
            <w:r>
              <w:rPr>
                <w:rFonts w:hint="eastAsia" w:ascii="宋体" w:hAnsi="Times New Roman" w:eastAsia="Times New Roman"/>
                <w:kern w:val="0"/>
                <w:sz w:val="18"/>
                <w:szCs w:val="18"/>
              </w:rPr>
              <w:t xml:space="preserve">      </w:t>
            </w:r>
            <w:r>
              <w:rPr>
                <w:rFonts w:hint="eastAsia" w:ascii="宋体" w:hAnsi="宋体" w:eastAsia="Times New Roman"/>
                <w:kern w:val="0"/>
                <w:sz w:val="18"/>
                <w:szCs w:val="18"/>
              </w:rPr>
              <w:t>条，设计产能：</w:t>
            </w:r>
            <w:r>
              <w:rPr>
                <w:rFonts w:hint="eastAsia" w:ascii="宋体" w:hAnsi="Times New Roman" w:eastAsia="Times New Roman"/>
                <w:kern w:val="0"/>
                <w:sz w:val="18"/>
                <w:szCs w:val="18"/>
              </w:rPr>
              <w:t xml:space="preserve">         /        /       (分线填写)</w:t>
            </w:r>
          </w:p>
        </w:tc>
      </w:tr>
      <w:tr w14:paraId="297CBB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single" w:color="000000" w:sz="4" w:space="0"/>
              <w:left w:val="single" w:color="000000" w:sz="8" w:space="0"/>
              <w:bottom w:val="single" w:color="auto" w:sz="4" w:space="0"/>
              <w:right w:val="single" w:color="000000" w:sz="4" w:space="0"/>
            </w:tcBorders>
            <w:vAlign w:val="center"/>
          </w:tcPr>
          <w:p w14:paraId="3019970B">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60C4476D">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数据统计周期</w:t>
            </w:r>
          </w:p>
        </w:tc>
        <w:tc>
          <w:tcPr>
            <w:tcW w:w="3261" w:type="pct"/>
            <w:gridSpan w:val="6"/>
            <w:tcBorders>
              <w:top w:val="single" w:color="000000" w:sz="4" w:space="0"/>
              <w:left w:val="single" w:color="000000" w:sz="4" w:space="0"/>
              <w:bottom w:val="single" w:color="000000" w:sz="4" w:space="0"/>
              <w:right w:val="single" w:color="000000" w:sz="8" w:space="0"/>
            </w:tcBorders>
            <w:vAlign w:val="center"/>
          </w:tcPr>
          <w:p w14:paraId="64F516E8">
            <w:pPr>
              <w:widowControl/>
              <w:autoSpaceDE w:val="0"/>
              <w:autoSpaceDN w:val="0"/>
              <w:adjustRightInd/>
              <w:spacing w:line="240" w:lineRule="auto"/>
              <w:jc w:val="center"/>
              <w:rPr>
                <w:rFonts w:ascii="宋体" w:hAnsi="Times New Roman" w:eastAsia="Times New Roman"/>
                <w:kern w:val="0"/>
                <w:sz w:val="18"/>
                <w:szCs w:val="18"/>
              </w:rPr>
            </w:pPr>
          </w:p>
        </w:tc>
      </w:tr>
      <w:tr w14:paraId="4E9BB7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restart"/>
            <w:tcBorders>
              <w:top w:val="single" w:color="auto" w:sz="4" w:space="0"/>
              <w:left w:val="single" w:color="000000" w:sz="8" w:space="0"/>
              <w:bottom w:val="nil"/>
              <w:right w:val="single" w:color="000000" w:sz="4" w:space="0"/>
            </w:tcBorders>
            <w:vAlign w:val="center"/>
          </w:tcPr>
          <w:p w14:paraId="4234ACD7">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产品信息</w:t>
            </w: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79D7845A">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产品种类</w:t>
            </w:r>
            <w:r>
              <w:rPr>
                <w:rFonts w:hint="eastAsia" w:ascii="宋体" w:hAnsi="Times New Roman" w:eastAsia="Times New Roman"/>
                <w:kern w:val="0"/>
                <w:sz w:val="18"/>
                <w:szCs w:val="18"/>
              </w:rPr>
              <w:t>/实际产量</w:t>
            </w:r>
          </w:p>
        </w:tc>
        <w:tc>
          <w:tcPr>
            <w:tcW w:w="3261" w:type="pct"/>
            <w:gridSpan w:val="6"/>
            <w:tcBorders>
              <w:top w:val="single" w:color="000000" w:sz="4" w:space="0"/>
              <w:left w:val="single" w:color="000000" w:sz="4" w:space="0"/>
              <w:bottom w:val="single" w:color="000000" w:sz="4" w:space="0"/>
              <w:right w:val="single" w:color="000000" w:sz="8" w:space="0"/>
            </w:tcBorders>
            <w:vAlign w:val="center"/>
          </w:tcPr>
          <w:p w14:paraId="5BFD5F23">
            <w:pPr>
              <w:widowControl/>
              <w:autoSpaceDE w:val="0"/>
              <w:autoSpaceDN w:val="0"/>
              <w:adjustRightInd/>
              <w:spacing w:line="240" w:lineRule="auto"/>
              <w:rPr>
                <w:rFonts w:ascii="宋体" w:hAnsi="Times New Roman" w:eastAsia="Times New Roman"/>
                <w:kern w:val="0"/>
                <w:sz w:val="18"/>
                <w:szCs w:val="18"/>
              </w:rPr>
            </w:pPr>
            <w:r>
              <w:rPr>
                <w:rFonts w:hint="eastAsia" w:ascii="宋体" w:hAnsi="宋体" w:eastAsia="Times New Roman"/>
                <w:kern w:val="0"/>
                <w:sz w:val="18"/>
                <w:szCs w:val="18"/>
              </w:rPr>
              <w:t>种类</w:t>
            </w:r>
            <w:r>
              <w:rPr>
                <w:rFonts w:hint="eastAsia" w:ascii="宋体" w:hAnsi="Times New Roman" w:eastAsia="Times New Roman"/>
                <w:kern w:val="0"/>
                <w:sz w:val="18"/>
                <w:szCs w:val="18"/>
              </w:rPr>
              <w:t xml:space="preserve">1:          </w:t>
            </w:r>
            <w:r>
              <w:rPr>
                <w:rFonts w:hint="eastAsia" w:ascii="宋体" w:hAnsi="Times New Roman" w:eastAsiaTheme="minorEastAsia"/>
                <w:kern w:val="0"/>
                <w:sz w:val="18"/>
                <w:szCs w:val="18"/>
              </w:rPr>
              <w:t xml:space="preserve"> </w:t>
            </w:r>
            <w:r>
              <w:rPr>
                <w:rFonts w:hint="eastAsia" w:ascii="宋体" w:hAnsi="Times New Roman" w:eastAsia="Times New Roman"/>
                <w:kern w:val="0"/>
                <w:sz w:val="18"/>
                <w:szCs w:val="18"/>
              </w:rPr>
              <w:t xml:space="preserve">     </w:t>
            </w:r>
            <w:r>
              <w:rPr>
                <w:rFonts w:hint="eastAsia" w:ascii="宋体" w:hAnsi="宋体" w:eastAsia="Times New Roman"/>
                <w:kern w:val="0"/>
                <w:sz w:val="18"/>
                <w:szCs w:val="18"/>
              </w:rPr>
              <w:t>；产量</w:t>
            </w:r>
            <w:r>
              <w:rPr>
                <w:rFonts w:hint="eastAsia" w:ascii="宋体" w:hAnsi="Times New Roman" w:eastAsia="Times New Roman"/>
                <w:kern w:val="0"/>
                <w:sz w:val="18"/>
                <w:szCs w:val="18"/>
              </w:rPr>
              <w:t xml:space="preserve">               t</w:t>
            </w:r>
          </w:p>
          <w:p w14:paraId="2237B807">
            <w:pPr>
              <w:widowControl/>
              <w:autoSpaceDE w:val="0"/>
              <w:autoSpaceDN w:val="0"/>
              <w:adjustRightInd/>
              <w:spacing w:line="240" w:lineRule="auto"/>
              <w:rPr>
                <w:rFonts w:ascii="宋体" w:hAnsi="Times New Roman" w:eastAsia="Times New Roman"/>
                <w:kern w:val="0"/>
                <w:sz w:val="18"/>
                <w:szCs w:val="18"/>
              </w:rPr>
            </w:pPr>
            <w:r>
              <w:rPr>
                <w:rFonts w:hint="eastAsia" w:ascii="宋体" w:hAnsi="宋体" w:eastAsia="Times New Roman"/>
                <w:kern w:val="0"/>
                <w:sz w:val="18"/>
                <w:szCs w:val="18"/>
              </w:rPr>
              <w:t>种类</w:t>
            </w:r>
            <w:r>
              <w:rPr>
                <w:rFonts w:hint="eastAsia" w:ascii="宋体" w:hAnsi="Times New Roman" w:eastAsia="Times New Roman"/>
                <w:kern w:val="0"/>
                <w:sz w:val="18"/>
                <w:szCs w:val="18"/>
              </w:rPr>
              <w:t xml:space="preserve">2:                </w:t>
            </w:r>
            <w:r>
              <w:rPr>
                <w:rFonts w:hint="eastAsia" w:ascii="宋体" w:hAnsi="宋体" w:eastAsia="Times New Roman"/>
                <w:kern w:val="0"/>
                <w:sz w:val="18"/>
                <w:szCs w:val="18"/>
              </w:rPr>
              <w:t>；产量</w:t>
            </w:r>
            <w:r>
              <w:rPr>
                <w:rFonts w:hint="eastAsia" w:ascii="宋体" w:hAnsi="Times New Roman" w:eastAsia="Times New Roman"/>
                <w:kern w:val="0"/>
                <w:sz w:val="18"/>
                <w:szCs w:val="18"/>
              </w:rPr>
              <w:t xml:space="preserve">               </w:t>
            </w:r>
            <w:r>
              <w:rPr>
                <w:rFonts w:hint="eastAsia" w:ascii="宋体" w:hAnsi="宋体" w:eastAsia="Times New Roman"/>
                <w:kern w:val="0"/>
                <w:sz w:val="18"/>
                <w:szCs w:val="18"/>
              </w:rPr>
              <w:t>t</w:t>
            </w:r>
          </w:p>
        </w:tc>
      </w:tr>
      <w:tr w14:paraId="21628F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nil"/>
              <w:right w:val="single" w:color="000000" w:sz="4" w:space="0"/>
            </w:tcBorders>
            <w:vAlign w:val="center"/>
          </w:tcPr>
          <w:p w14:paraId="46CCB3D1">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361B426D">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执行产品标准</w:t>
            </w:r>
          </w:p>
        </w:tc>
        <w:tc>
          <w:tcPr>
            <w:tcW w:w="3261" w:type="pct"/>
            <w:gridSpan w:val="6"/>
            <w:tcBorders>
              <w:top w:val="single" w:color="000000" w:sz="4" w:space="0"/>
              <w:left w:val="single" w:color="000000" w:sz="4" w:space="0"/>
              <w:bottom w:val="single" w:color="000000" w:sz="4" w:space="0"/>
              <w:right w:val="single" w:color="000000" w:sz="8" w:space="0"/>
            </w:tcBorders>
            <w:vAlign w:val="center"/>
          </w:tcPr>
          <w:p w14:paraId="4ED01FD8">
            <w:pPr>
              <w:widowControl/>
              <w:autoSpaceDE w:val="0"/>
              <w:autoSpaceDN w:val="0"/>
              <w:adjustRightInd/>
              <w:spacing w:line="240" w:lineRule="auto"/>
              <w:jc w:val="center"/>
              <w:rPr>
                <w:rFonts w:ascii="宋体" w:hAnsi="Times New Roman" w:eastAsia="Times New Roman"/>
                <w:kern w:val="0"/>
                <w:sz w:val="18"/>
                <w:szCs w:val="18"/>
              </w:rPr>
            </w:pPr>
          </w:p>
        </w:tc>
      </w:tr>
      <w:tr w14:paraId="41C57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000" w:type="pct"/>
            <w:gridSpan w:val="9"/>
            <w:tcBorders>
              <w:top w:val="single" w:color="000000" w:sz="4" w:space="0"/>
              <w:left w:val="single" w:color="000000" w:sz="8" w:space="0"/>
              <w:bottom w:val="single" w:color="000000" w:sz="4" w:space="0"/>
              <w:right w:val="single" w:color="000000" w:sz="8" w:space="0"/>
            </w:tcBorders>
            <w:vAlign w:val="center"/>
          </w:tcPr>
          <w:p w14:paraId="5D37D3CE">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生产阶段</w:t>
            </w:r>
          </w:p>
        </w:tc>
      </w:tr>
      <w:tr w14:paraId="4FA68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restart"/>
            <w:tcBorders>
              <w:top w:val="single" w:color="auto" w:sz="4" w:space="0"/>
              <w:left w:val="single" w:color="000000" w:sz="8" w:space="0"/>
              <w:bottom w:val="single" w:color="000000" w:sz="4" w:space="0"/>
              <w:right w:val="single" w:color="000000" w:sz="4" w:space="0"/>
            </w:tcBorders>
            <w:vAlign w:val="center"/>
          </w:tcPr>
          <w:p w14:paraId="4E8683E7">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资源消耗及综合利用</w:t>
            </w: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197F1DAC">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种类</w:t>
            </w:r>
          </w:p>
        </w:tc>
        <w:tc>
          <w:tcPr>
            <w:tcW w:w="264" w:type="pct"/>
            <w:tcBorders>
              <w:top w:val="single" w:color="000000" w:sz="4" w:space="0"/>
              <w:left w:val="single" w:color="000000" w:sz="4" w:space="0"/>
              <w:bottom w:val="single" w:color="000000" w:sz="4" w:space="0"/>
              <w:right w:val="single" w:color="000000" w:sz="4" w:space="0"/>
            </w:tcBorders>
            <w:vAlign w:val="center"/>
          </w:tcPr>
          <w:p w14:paraId="3CA2006A">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消耗量</w:t>
            </w:r>
          </w:p>
        </w:tc>
        <w:tc>
          <w:tcPr>
            <w:tcW w:w="177" w:type="pct"/>
            <w:tcBorders>
              <w:top w:val="single" w:color="000000" w:sz="4" w:space="0"/>
              <w:left w:val="single" w:color="000000" w:sz="4" w:space="0"/>
              <w:bottom w:val="single" w:color="000000" w:sz="4" w:space="0"/>
              <w:right w:val="single" w:color="000000" w:sz="4" w:space="0"/>
            </w:tcBorders>
            <w:vAlign w:val="center"/>
          </w:tcPr>
          <w:p w14:paraId="2DF6AD70">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单位</w:t>
            </w:r>
          </w:p>
        </w:tc>
        <w:tc>
          <w:tcPr>
            <w:tcW w:w="177" w:type="pct"/>
            <w:tcBorders>
              <w:top w:val="single" w:color="000000" w:sz="4" w:space="0"/>
              <w:left w:val="single" w:color="000000" w:sz="4" w:space="0"/>
              <w:bottom w:val="single" w:color="000000" w:sz="4" w:space="0"/>
              <w:right w:val="single" w:color="000000" w:sz="4" w:space="0"/>
            </w:tcBorders>
            <w:vAlign w:val="center"/>
          </w:tcPr>
          <w:p w14:paraId="6B686DBD">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产地</w:t>
            </w:r>
          </w:p>
        </w:tc>
        <w:tc>
          <w:tcPr>
            <w:tcW w:w="952" w:type="pct"/>
            <w:tcBorders>
              <w:top w:val="single" w:color="000000" w:sz="4" w:space="0"/>
              <w:left w:val="single" w:color="000000" w:sz="4" w:space="0"/>
              <w:bottom w:val="single" w:color="000000" w:sz="4" w:space="0"/>
              <w:right w:val="single" w:color="000000" w:sz="4" w:space="0"/>
            </w:tcBorders>
            <w:vAlign w:val="center"/>
          </w:tcPr>
          <w:p w14:paraId="2046D383">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取得方式填写自产或外购</w:t>
            </w:r>
          </w:p>
        </w:tc>
        <w:tc>
          <w:tcPr>
            <w:tcW w:w="1038" w:type="pct"/>
            <w:tcBorders>
              <w:top w:val="single" w:color="000000" w:sz="4" w:space="0"/>
              <w:left w:val="single" w:color="000000" w:sz="4" w:space="0"/>
              <w:bottom w:val="single" w:color="000000" w:sz="4" w:space="0"/>
              <w:right w:val="single" w:color="000000" w:sz="4" w:space="0"/>
            </w:tcBorders>
            <w:vAlign w:val="center"/>
          </w:tcPr>
          <w:p w14:paraId="582D1923">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运输方式汽运、火车或船运</w:t>
            </w:r>
          </w:p>
        </w:tc>
        <w:tc>
          <w:tcPr>
            <w:tcW w:w="653" w:type="pct"/>
            <w:tcBorders>
              <w:top w:val="single" w:color="000000" w:sz="4" w:space="0"/>
              <w:left w:val="single" w:color="000000" w:sz="4" w:space="0"/>
              <w:bottom w:val="single" w:color="000000" w:sz="4" w:space="0"/>
              <w:right w:val="single" w:color="000000" w:sz="8" w:space="0"/>
            </w:tcBorders>
            <w:vAlign w:val="center"/>
          </w:tcPr>
          <w:p w14:paraId="552A37AB">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加权运输距离</w:t>
            </w:r>
            <w:r>
              <w:rPr>
                <w:rFonts w:hint="eastAsia" w:ascii="宋体" w:hAnsi="Times New Roman" w:eastAsia="Times New Roman"/>
                <w:kern w:val="0"/>
                <w:sz w:val="18"/>
                <w:szCs w:val="18"/>
              </w:rPr>
              <w:t>/km</w:t>
            </w:r>
          </w:p>
        </w:tc>
      </w:tr>
      <w:tr w14:paraId="7CDAF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000000" w:sz="4" w:space="0"/>
              <w:right w:val="single" w:color="000000" w:sz="4" w:space="0"/>
            </w:tcBorders>
            <w:vAlign w:val="center"/>
          </w:tcPr>
          <w:p w14:paraId="41A7FE9B">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64DF5ABF">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锰矿石</w:t>
            </w:r>
          </w:p>
        </w:tc>
        <w:tc>
          <w:tcPr>
            <w:tcW w:w="264" w:type="pct"/>
            <w:tcBorders>
              <w:top w:val="single" w:color="000000" w:sz="4" w:space="0"/>
              <w:left w:val="single" w:color="000000" w:sz="4" w:space="0"/>
              <w:bottom w:val="single" w:color="000000" w:sz="4" w:space="0"/>
              <w:right w:val="single" w:color="000000" w:sz="4" w:space="0"/>
            </w:tcBorders>
            <w:vAlign w:val="center"/>
          </w:tcPr>
          <w:p w14:paraId="67A93471">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14DB1D5">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t</w:t>
            </w:r>
          </w:p>
        </w:tc>
        <w:tc>
          <w:tcPr>
            <w:tcW w:w="177" w:type="pct"/>
            <w:tcBorders>
              <w:top w:val="single" w:color="000000" w:sz="4" w:space="0"/>
              <w:left w:val="single" w:color="000000" w:sz="4" w:space="0"/>
              <w:bottom w:val="single" w:color="000000" w:sz="4" w:space="0"/>
              <w:right w:val="single" w:color="000000" w:sz="4" w:space="0"/>
            </w:tcBorders>
            <w:vAlign w:val="center"/>
          </w:tcPr>
          <w:p w14:paraId="7CAC2FF6">
            <w:pPr>
              <w:widowControl/>
              <w:autoSpaceDE w:val="0"/>
              <w:autoSpaceDN w:val="0"/>
              <w:adjustRightInd/>
              <w:spacing w:line="240" w:lineRule="auto"/>
              <w:jc w:val="center"/>
              <w:rPr>
                <w:rFonts w:ascii="宋体" w:hAnsi="Times New Roman" w:eastAsia="Times New Roman"/>
                <w:kern w:val="0"/>
                <w:sz w:val="18"/>
                <w:szCs w:val="18"/>
              </w:rPr>
            </w:pPr>
          </w:p>
        </w:tc>
        <w:tc>
          <w:tcPr>
            <w:tcW w:w="952" w:type="pct"/>
            <w:tcBorders>
              <w:top w:val="single" w:color="000000" w:sz="4" w:space="0"/>
              <w:left w:val="single" w:color="000000" w:sz="4" w:space="0"/>
              <w:bottom w:val="single" w:color="000000" w:sz="4" w:space="0"/>
              <w:right w:val="single" w:color="000000" w:sz="4" w:space="0"/>
            </w:tcBorders>
            <w:vAlign w:val="center"/>
          </w:tcPr>
          <w:p w14:paraId="74B8ECAC">
            <w:pPr>
              <w:widowControl/>
              <w:autoSpaceDE w:val="0"/>
              <w:autoSpaceDN w:val="0"/>
              <w:adjustRightInd/>
              <w:spacing w:line="240" w:lineRule="auto"/>
              <w:jc w:val="center"/>
              <w:rPr>
                <w:rFonts w:ascii="宋体" w:hAnsi="Times New Roman" w:eastAsia="Times New Roman"/>
                <w:kern w:val="0"/>
                <w:sz w:val="18"/>
                <w:szCs w:val="18"/>
              </w:rPr>
            </w:pPr>
          </w:p>
        </w:tc>
        <w:tc>
          <w:tcPr>
            <w:tcW w:w="1038" w:type="pct"/>
            <w:tcBorders>
              <w:top w:val="single" w:color="000000" w:sz="4" w:space="0"/>
              <w:left w:val="single" w:color="000000" w:sz="4" w:space="0"/>
              <w:bottom w:val="single" w:color="000000" w:sz="4" w:space="0"/>
              <w:right w:val="single" w:color="000000" w:sz="4" w:space="0"/>
            </w:tcBorders>
            <w:vAlign w:val="center"/>
          </w:tcPr>
          <w:p w14:paraId="755C6982">
            <w:pPr>
              <w:widowControl/>
              <w:autoSpaceDE w:val="0"/>
              <w:autoSpaceDN w:val="0"/>
              <w:adjustRightInd/>
              <w:spacing w:line="240" w:lineRule="auto"/>
              <w:jc w:val="center"/>
              <w:rPr>
                <w:rFonts w:ascii="宋体" w:hAnsi="Times New Roman" w:eastAsia="Times New Roman"/>
                <w:kern w:val="0"/>
                <w:sz w:val="18"/>
                <w:szCs w:val="18"/>
              </w:rPr>
            </w:pPr>
          </w:p>
        </w:tc>
        <w:tc>
          <w:tcPr>
            <w:tcW w:w="653" w:type="pct"/>
            <w:tcBorders>
              <w:top w:val="single" w:color="000000" w:sz="4" w:space="0"/>
              <w:left w:val="single" w:color="000000" w:sz="4" w:space="0"/>
              <w:bottom w:val="single" w:color="000000" w:sz="4" w:space="0"/>
              <w:right w:val="single" w:color="000000" w:sz="8" w:space="0"/>
            </w:tcBorders>
            <w:vAlign w:val="center"/>
          </w:tcPr>
          <w:p w14:paraId="75489723">
            <w:pPr>
              <w:widowControl/>
              <w:autoSpaceDE w:val="0"/>
              <w:autoSpaceDN w:val="0"/>
              <w:adjustRightInd/>
              <w:spacing w:line="240" w:lineRule="auto"/>
              <w:jc w:val="center"/>
              <w:rPr>
                <w:rFonts w:ascii="宋体" w:hAnsi="Times New Roman" w:eastAsia="Times New Roman"/>
                <w:kern w:val="0"/>
                <w:sz w:val="18"/>
                <w:szCs w:val="18"/>
              </w:rPr>
            </w:pPr>
          </w:p>
        </w:tc>
      </w:tr>
      <w:tr w14:paraId="508384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000000" w:sz="4" w:space="0"/>
              <w:right w:val="single" w:color="000000" w:sz="4" w:space="0"/>
            </w:tcBorders>
            <w:vAlign w:val="center"/>
          </w:tcPr>
          <w:p w14:paraId="78454EBE">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15EABE72">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硫铁矿</w:t>
            </w:r>
          </w:p>
        </w:tc>
        <w:tc>
          <w:tcPr>
            <w:tcW w:w="264" w:type="pct"/>
            <w:tcBorders>
              <w:top w:val="single" w:color="000000" w:sz="4" w:space="0"/>
              <w:left w:val="single" w:color="000000" w:sz="4" w:space="0"/>
              <w:bottom w:val="single" w:color="000000" w:sz="4" w:space="0"/>
              <w:right w:val="single" w:color="000000" w:sz="4" w:space="0"/>
            </w:tcBorders>
            <w:vAlign w:val="center"/>
          </w:tcPr>
          <w:p w14:paraId="6998D2C9">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6DB4BC7">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t</w:t>
            </w:r>
          </w:p>
        </w:tc>
        <w:tc>
          <w:tcPr>
            <w:tcW w:w="177" w:type="pct"/>
            <w:tcBorders>
              <w:top w:val="single" w:color="000000" w:sz="4" w:space="0"/>
              <w:left w:val="single" w:color="000000" w:sz="4" w:space="0"/>
              <w:bottom w:val="single" w:color="000000" w:sz="4" w:space="0"/>
              <w:right w:val="single" w:color="000000" w:sz="4" w:space="0"/>
            </w:tcBorders>
            <w:vAlign w:val="center"/>
          </w:tcPr>
          <w:p w14:paraId="45F6D434">
            <w:pPr>
              <w:widowControl/>
              <w:autoSpaceDE w:val="0"/>
              <w:autoSpaceDN w:val="0"/>
              <w:adjustRightInd/>
              <w:spacing w:line="240" w:lineRule="auto"/>
              <w:jc w:val="center"/>
              <w:rPr>
                <w:rFonts w:ascii="宋体" w:hAnsi="Times New Roman" w:eastAsia="Times New Roman"/>
                <w:kern w:val="0"/>
                <w:sz w:val="18"/>
                <w:szCs w:val="18"/>
              </w:rPr>
            </w:pPr>
          </w:p>
        </w:tc>
        <w:tc>
          <w:tcPr>
            <w:tcW w:w="952" w:type="pct"/>
            <w:tcBorders>
              <w:top w:val="single" w:color="000000" w:sz="4" w:space="0"/>
              <w:left w:val="single" w:color="000000" w:sz="4" w:space="0"/>
              <w:bottom w:val="single" w:color="000000" w:sz="4" w:space="0"/>
              <w:right w:val="single" w:color="000000" w:sz="4" w:space="0"/>
            </w:tcBorders>
            <w:vAlign w:val="center"/>
          </w:tcPr>
          <w:p w14:paraId="2937B099">
            <w:pPr>
              <w:widowControl/>
              <w:autoSpaceDE w:val="0"/>
              <w:autoSpaceDN w:val="0"/>
              <w:adjustRightInd/>
              <w:spacing w:line="240" w:lineRule="auto"/>
              <w:jc w:val="center"/>
              <w:rPr>
                <w:rFonts w:ascii="宋体" w:hAnsi="Times New Roman" w:eastAsia="Times New Roman"/>
                <w:kern w:val="0"/>
                <w:sz w:val="18"/>
                <w:szCs w:val="18"/>
              </w:rPr>
            </w:pPr>
          </w:p>
        </w:tc>
        <w:tc>
          <w:tcPr>
            <w:tcW w:w="1038" w:type="pct"/>
            <w:tcBorders>
              <w:top w:val="single" w:color="000000" w:sz="4" w:space="0"/>
              <w:left w:val="single" w:color="000000" w:sz="4" w:space="0"/>
              <w:bottom w:val="single" w:color="000000" w:sz="4" w:space="0"/>
              <w:right w:val="single" w:color="000000" w:sz="4" w:space="0"/>
            </w:tcBorders>
            <w:vAlign w:val="center"/>
          </w:tcPr>
          <w:p w14:paraId="587EB206">
            <w:pPr>
              <w:widowControl/>
              <w:autoSpaceDE w:val="0"/>
              <w:autoSpaceDN w:val="0"/>
              <w:adjustRightInd/>
              <w:spacing w:line="240" w:lineRule="auto"/>
              <w:jc w:val="center"/>
              <w:rPr>
                <w:rFonts w:ascii="宋体" w:hAnsi="Times New Roman" w:eastAsia="Times New Roman"/>
                <w:kern w:val="0"/>
                <w:sz w:val="18"/>
                <w:szCs w:val="18"/>
              </w:rPr>
            </w:pPr>
          </w:p>
        </w:tc>
        <w:tc>
          <w:tcPr>
            <w:tcW w:w="653" w:type="pct"/>
            <w:tcBorders>
              <w:top w:val="single" w:color="000000" w:sz="4" w:space="0"/>
              <w:left w:val="single" w:color="000000" w:sz="4" w:space="0"/>
              <w:bottom w:val="single" w:color="000000" w:sz="4" w:space="0"/>
              <w:right w:val="single" w:color="000000" w:sz="8" w:space="0"/>
            </w:tcBorders>
            <w:vAlign w:val="center"/>
          </w:tcPr>
          <w:p w14:paraId="0F808539">
            <w:pPr>
              <w:widowControl/>
              <w:autoSpaceDE w:val="0"/>
              <w:autoSpaceDN w:val="0"/>
              <w:adjustRightInd/>
              <w:spacing w:line="240" w:lineRule="auto"/>
              <w:jc w:val="center"/>
              <w:rPr>
                <w:rFonts w:ascii="宋体" w:hAnsi="Times New Roman" w:eastAsia="Times New Roman"/>
                <w:kern w:val="0"/>
                <w:sz w:val="18"/>
                <w:szCs w:val="18"/>
              </w:rPr>
            </w:pPr>
          </w:p>
        </w:tc>
      </w:tr>
      <w:tr w14:paraId="772C9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000000" w:sz="4" w:space="0"/>
              <w:right w:val="single" w:color="000000" w:sz="4" w:space="0"/>
            </w:tcBorders>
            <w:vAlign w:val="center"/>
          </w:tcPr>
          <w:p w14:paraId="6080A21C">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41D7EF4D">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硫酸</w:t>
            </w:r>
          </w:p>
        </w:tc>
        <w:tc>
          <w:tcPr>
            <w:tcW w:w="264" w:type="pct"/>
            <w:tcBorders>
              <w:top w:val="single" w:color="000000" w:sz="4" w:space="0"/>
              <w:left w:val="single" w:color="000000" w:sz="4" w:space="0"/>
              <w:bottom w:val="single" w:color="000000" w:sz="4" w:space="0"/>
              <w:right w:val="single" w:color="000000" w:sz="4" w:space="0"/>
            </w:tcBorders>
            <w:vAlign w:val="center"/>
          </w:tcPr>
          <w:p w14:paraId="140442BA">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80A6AD">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t</w:t>
            </w:r>
          </w:p>
        </w:tc>
        <w:tc>
          <w:tcPr>
            <w:tcW w:w="177" w:type="pct"/>
            <w:tcBorders>
              <w:top w:val="single" w:color="000000" w:sz="4" w:space="0"/>
              <w:left w:val="single" w:color="000000" w:sz="4" w:space="0"/>
              <w:bottom w:val="single" w:color="000000" w:sz="4" w:space="0"/>
              <w:right w:val="single" w:color="000000" w:sz="4" w:space="0"/>
            </w:tcBorders>
            <w:vAlign w:val="center"/>
          </w:tcPr>
          <w:p w14:paraId="1C86EACE">
            <w:pPr>
              <w:widowControl/>
              <w:autoSpaceDE w:val="0"/>
              <w:autoSpaceDN w:val="0"/>
              <w:adjustRightInd/>
              <w:spacing w:line="240" w:lineRule="auto"/>
              <w:jc w:val="center"/>
              <w:rPr>
                <w:rFonts w:ascii="宋体" w:hAnsi="Times New Roman" w:eastAsia="Times New Roman"/>
                <w:kern w:val="0"/>
                <w:sz w:val="18"/>
                <w:szCs w:val="18"/>
              </w:rPr>
            </w:pPr>
          </w:p>
        </w:tc>
        <w:tc>
          <w:tcPr>
            <w:tcW w:w="952" w:type="pct"/>
            <w:tcBorders>
              <w:top w:val="single" w:color="000000" w:sz="4" w:space="0"/>
              <w:left w:val="single" w:color="000000" w:sz="4" w:space="0"/>
              <w:bottom w:val="single" w:color="000000" w:sz="4" w:space="0"/>
              <w:right w:val="single" w:color="000000" w:sz="4" w:space="0"/>
            </w:tcBorders>
            <w:vAlign w:val="center"/>
          </w:tcPr>
          <w:p w14:paraId="7EEA9DE7">
            <w:pPr>
              <w:widowControl/>
              <w:autoSpaceDE w:val="0"/>
              <w:autoSpaceDN w:val="0"/>
              <w:adjustRightInd/>
              <w:spacing w:line="240" w:lineRule="auto"/>
              <w:jc w:val="center"/>
              <w:rPr>
                <w:rFonts w:ascii="宋体" w:hAnsi="Times New Roman" w:eastAsia="Times New Roman"/>
                <w:kern w:val="0"/>
                <w:sz w:val="18"/>
                <w:szCs w:val="18"/>
              </w:rPr>
            </w:pPr>
          </w:p>
        </w:tc>
        <w:tc>
          <w:tcPr>
            <w:tcW w:w="1038" w:type="pct"/>
            <w:tcBorders>
              <w:top w:val="single" w:color="000000" w:sz="4" w:space="0"/>
              <w:left w:val="single" w:color="000000" w:sz="4" w:space="0"/>
              <w:bottom w:val="single" w:color="000000" w:sz="4" w:space="0"/>
              <w:right w:val="single" w:color="000000" w:sz="4" w:space="0"/>
            </w:tcBorders>
            <w:vAlign w:val="center"/>
          </w:tcPr>
          <w:p w14:paraId="09B89930">
            <w:pPr>
              <w:widowControl/>
              <w:autoSpaceDE w:val="0"/>
              <w:autoSpaceDN w:val="0"/>
              <w:adjustRightInd/>
              <w:spacing w:line="240" w:lineRule="auto"/>
              <w:jc w:val="center"/>
              <w:rPr>
                <w:rFonts w:ascii="宋体" w:hAnsi="Times New Roman" w:eastAsia="Times New Roman"/>
                <w:kern w:val="0"/>
                <w:sz w:val="18"/>
                <w:szCs w:val="18"/>
              </w:rPr>
            </w:pPr>
          </w:p>
        </w:tc>
        <w:tc>
          <w:tcPr>
            <w:tcW w:w="653" w:type="pct"/>
            <w:tcBorders>
              <w:top w:val="single" w:color="000000" w:sz="4" w:space="0"/>
              <w:left w:val="single" w:color="000000" w:sz="4" w:space="0"/>
              <w:bottom w:val="single" w:color="000000" w:sz="4" w:space="0"/>
              <w:right w:val="single" w:color="000000" w:sz="8" w:space="0"/>
            </w:tcBorders>
            <w:vAlign w:val="center"/>
          </w:tcPr>
          <w:p w14:paraId="09D97A11">
            <w:pPr>
              <w:widowControl/>
              <w:autoSpaceDE w:val="0"/>
              <w:autoSpaceDN w:val="0"/>
              <w:adjustRightInd/>
              <w:spacing w:line="240" w:lineRule="auto"/>
              <w:jc w:val="center"/>
              <w:rPr>
                <w:rFonts w:ascii="宋体" w:hAnsi="Times New Roman" w:eastAsia="Times New Roman"/>
                <w:kern w:val="0"/>
                <w:sz w:val="18"/>
                <w:szCs w:val="18"/>
              </w:rPr>
            </w:pPr>
          </w:p>
        </w:tc>
      </w:tr>
      <w:tr w14:paraId="17F5C8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000000" w:sz="4" w:space="0"/>
              <w:right w:val="single" w:color="000000" w:sz="4" w:space="0"/>
            </w:tcBorders>
            <w:vAlign w:val="center"/>
          </w:tcPr>
          <w:p w14:paraId="04B9DB63">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69220DA6">
            <w:pPr>
              <w:widowControl/>
              <w:autoSpaceDE w:val="0"/>
              <w:autoSpaceDN w:val="0"/>
              <w:adjustRightInd/>
              <w:spacing w:line="240" w:lineRule="auto"/>
              <w:jc w:val="center"/>
              <w:rPr>
                <w:rFonts w:ascii="宋体" w:hAnsi="Times New Roman" w:eastAsia="Times New Roman"/>
                <w:kern w:val="0"/>
                <w:sz w:val="18"/>
                <w:szCs w:val="18"/>
              </w:rPr>
            </w:pPr>
            <w:r>
              <w:rPr>
                <w:rFonts w:hint="eastAsia" w:ascii="Times New Roman" w:hAnsi="Times New Roman" w:eastAsia="Times New Roman"/>
                <w:kern w:val="0"/>
                <w:sz w:val="18"/>
                <w:szCs w:val="18"/>
              </w:rPr>
              <w:t>……</w:t>
            </w:r>
          </w:p>
        </w:tc>
        <w:tc>
          <w:tcPr>
            <w:tcW w:w="264" w:type="pct"/>
            <w:tcBorders>
              <w:top w:val="single" w:color="000000" w:sz="4" w:space="0"/>
              <w:left w:val="single" w:color="000000" w:sz="4" w:space="0"/>
              <w:bottom w:val="single" w:color="000000" w:sz="4" w:space="0"/>
              <w:right w:val="single" w:color="000000" w:sz="4" w:space="0"/>
            </w:tcBorders>
            <w:vAlign w:val="center"/>
          </w:tcPr>
          <w:p w14:paraId="5A728B58">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589A57">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t</w:t>
            </w:r>
          </w:p>
        </w:tc>
        <w:tc>
          <w:tcPr>
            <w:tcW w:w="177" w:type="pct"/>
            <w:tcBorders>
              <w:top w:val="single" w:color="000000" w:sz="4" w:space="0"/>
              <w:left w:val="single" w:color="000000" w:sz="4" w:space="0"/>
              <w:bottom w:val="single" w:color="000000" w:sz="4" w:space="0"/>
              <w:right w:val="single" w:color="000000" w:sz="4" w:space="0"/>
            </w:tcBorders>
            <w:vAlign w:val="center"/>
          </w:tcPr>
          <w:p w14:paraId="1D25E09C">
            <w:pPr>
              <w:widowControl/>
              <w:autoSpaceDE w:val="0"/>
              <w:autoSpaceDN w:val="0"/>
              <w:adjustRightInd/>
              <w:spacing w:line="240" w:lineRule="auto"/>
              <w:jc w:val="center"/>
              <w:rPr>
                <w:rFonts w:ascii="宋体" w:hAnsi="Times New Roman" w:eastAsia="Times New Roman"/>
                <w:kern w:val="0"/>
                <w:sz w:val="18"/>
                <w:szCs w:val="18"/>
              </w:rPr>
            </w:pPr>
          </w:p>
        </w:tc>
        <w:tc>
          <w:tcPr>
            <w:tcW w:w="952" w:type="pct"/>
            <w:tcBorders>
              <w:top w:val="single" w:color="000000" w:sz="4" w:space="0"/>
              <w:left w:val="single" w:color="000000" w:sz="4" w:space="0"/>
              <w:bottom w:val="single" w:color="000000" w:sz="4" w:space="0"/>
              <w:right w:val="single" w:color="000000" w:sz="4" w:space="0"/>
            </w:tcBorders>
            <w:vAlign w:val="center"/>
          </w:tcPr>
          <w:p w14:paraId="512694D1">
            <w:pPr>
              <w:widowControl/>
              <w:autoSpaceDE w:val="0"/>
              <w:autoSpaceDN w:val="0"/>
              <w:adjustRightInd/>
              <w:spacing w:line="240" w:lineRule="auto"/>
              <w:jc w:val="center"/>
              <w:rPr>
                <w:rFonts w:ascii="宋体" w:hAnsi="Times New Roman" w:eastAsia="Times New Roman"/>
                <w:kern w:val="0"/>
                <w:sz w:val="18"/>
                <w:szCs w:val="18"/>
              </w:rPr>
            </w:pPr>
          </w:p>
        </w:tc>
        <w:tc>
          <w:tcPr>
            <w:tcW w:w="1038" w:type="pct"/>
            <w:tcBorders>
              <w:top w:val="single" w:color="000000" w:sz="4" w:space="0"/>
              <w:left w:val="single" w:color="000000" w:sz="4" w:space="0"/>
              <w:bottom w:val="single" w:color="000000" w:sz="4" w:space="0"/>
              <w:right w:val="single" w:color="000000" w:sz="4" w:space="0"/>
            </w:tcBorders>
            <w:vAlign w:val="center"/>
          </w:tcPr>
          <w:p w14:paraId="5027EF17">
            <w:pPr>
              <w:widowControl/>
              <w:autoSpaceDE w:val="0"/>
              <w:autoSpaceDN w:val="0"/>
              <w:adjustRightInd/>
              <w:spacing w:line="240" w:lineRule="auto"/>
              <w:jc w:val="center"/>
              <w:rPr>
                <w:rFonts w:ascii="宋体" w:hAnsi="Times New Roman" w:eastAsia="Times New Roman"/>
                <w:kern w:val="0"/>
                <w:sz w:val="18"/>
                <w:szCs w:val="18"/>
              </w:rPr>
            </w:pPr>
          </w:p>
        </w:tc>
        <w:tc>
          <w:tcPr>
            <w:tcW w:w="653" w:type="pct"/>
            <w:tcBorders>
              <w:top w:val="single" w:color="000000" w:sz="4" w:space="0"/>
              <w:left w:val="single" w:color="000000" w:sz="4" w:space="0"/>
              <w:bottom w:val="single" w:color="000000" w:sz="4" w:space="0"/>
              <w:right w:val="single" w:color="000000" w:sz="8" w:space="0"/>
            </w:tcBorders>
            <w:vAlign w:val="center"/>
          </w:tcPr>
          <w:p w14:paraId="270C250A">
            <w:pPr>
              <w:widowControl/>
              <w:autoSpaceDE w:val="0"/>
              <w:autoSpaceDN w:val="0"/>
              <w:adjustRightInd/>
              <w:spacing w:line="240" w:lineRule="auto"/>
              <w:jc w:val="center"/>
              <w:rPr>
                <w:rFonts w:ascii="宋体" w:hAnsi="Times New Roman" w:eastAsia="Times New Roman"/>
                <w:kern w:val="0"/>
                <w:sz w:val="18"/>
                <w:szCs w:val="18"/>
              </w:rPr>
            </w:pPr>
          </w:p>
        </w:tc>
      </w:tr>
      <w:tr w14:paraId="09AC9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000000" w:sz="4" w:space="0"/>
              <w:right w:val="single" w:color="000000" w:sz="4" w:space="0"/>
            </w:tcBorders>
            <w:vAlign w:val="center"/>
          </w:tcPr>
          <w:p w14:paraId="4B23389A">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213F5765">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水</w:t>
            </w:r>
          </w:p>
        </w:tc>
        <w:tc>
          <w:tcPr>
            <w:tcW w:w="264" w:type="pct"/>
            <w:tcBorders>
              <w:top w:val="single" w:color="000000" w:sz="4" w:space="0"/>
              <w:left w:val="single" w:color="000000" w:sz="4" w:space="0"/>
              <w:bottom w:val="single" w:color="000000" w:sz="4" w:space="0"/>
              <w:right w:val="single" w:color="000000" w:sz="4" w:space="0"/>
            </w:tcBorders>
            <w:vAlign w:val="center"/>
          </w:tcPr>
          <w:p w14:paraId="1608834D">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FA1F0FF">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m</w:t>
            </w:r>
            <w:r>
              <w:rPr>
                <w:rFonts w:hint="eastAsia" w:ascii="Times New Roman" w:hAnsi="Times New Roman" w:eastAsia="Times New Roman"/>
                <w:kern w:val="0"/>
                <w:sz w:val="18"/>
                <w:szCs w:val="18"/>
              </w:rPr>
              <w:t>³</w:t>
            </w:r>
          </w:p>
        </w:tc>
        <w:tc>
          <w:tcPr>
            <w:tcW w:w="177" w:type="pct"/>
            <w:tcBorders>
              <w:top w:val="single" w:color="000000" w:sz="4" w:space="0"/>
              <w:left w:val="single" w:color="000000" w:sz="4" w:space="0"/>
              <w:bottom w:val="single" w:color="000000" w:sz="4" w:space="0"/>
              <w:right w:val="single" w:color="000000" w:sz="4" w:space="0"/>
            </w:tcBorders>
            <w:vAlign w:val="center"/>
          </w:tcPr>
          <w:p w14:paraId="62A7402D">
            <w:pPr>
              <w:widowControl/>
              <w:autoSpaceDE w:val="0"/>
              <w:autoSpaceDN w:val="0"/>
              <w:adjustRightInd/>
              <w:spacing w:line="240" w:lineRule="auto"/>
              <w:jc w:val="center"/>
              <w:rPr>
                <w:rFonts w:ascii="宋体" w:hAnsi="Times New Roman" w:eastAsia="Times New Roman"/>
                <w:kern w:val="0"/>
                <w:sz w:val="18"/>
                <w:szCs w:val="18"/>
              </w:rPr>
            </w:pPr>
          </w:p>
        </w:tc>
        <w:tc>
          <w:tcPr>
            <w:tcW w:w="2642" w:type="pct"/>
            <w:gridSpan w:val="3"/>
            <w:tcBorders>
              <w:top w:val="single" w:color="000000" w:sz="4" w:space="0"/>
              <w:left w:val="single" w:color="000000" w:sz="4" w:space="0"/>
              <w:bottom w:val="single" w:color="000000" w:sz="4" w:space="0"/>
              <w:right w:val="single" w:color="000000" w:sz="8" w:space="0"/>
            </w:tcBorders>
            <w:vAlign w:val="center"/>
          </w:tcPr>
          <w:p w14:paraId="4555DA82">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说明来源</w:t>
            </w:r>
            <w:r>
              <w:rPr>
                <w:rFonts w:hint="eastAsia" w:ascii="宋体" w:hAnsi="Times New Roman" w:eastAsia="Times New Roman"/>
                <w:kern w:val="0"/>
                <w:sz w:val="18"/>
                <w:szCs w:val="18"/>
              </w:rPr>
              <w:t>(自来水、河水等):</w:t>
            </w:r>
          </w:p>
        </w:tc>
      </w:tr>
      <w:tr w14:paraId="77132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restart"/>
            <w:tcBorders>
              <w:top w:val="nil"/>
              <w:left w:val="single" w:color="000000" w:sz="8" w:space="0"/>
              <w:bottom w:val="single" w:color="000000" w:sz="4" w:space="0"/>
              <w:right w:val="single" w:color="000000" w:sz="4" w:space="0"/>
            </w:tcBorders>
            <w:vAlign w:val="center"/>
          </w:tcPr>
          <w:p w14:paraId="178DAAD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能源消耗</w:t>
            </w: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30DF3253">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种类</w:t>
            </w:r>
          </w:p>
        </w:tc>
        <w:tc>
          <w:tcPr>
            <w:tcW w:w="264" w:type="pct"/>
            <w:tcBorders>
              <w:top w:val="single" w:color="000000" w:sz="4" w:space="0"/>
              <w:left w:val="single" w:color="000000" w:sz="4" w:space="0"/>
              <w:bottom w:val="single" w:color="000000" w:sz="4" w:space="0"/>
              <w:right w:val="single" w:color="000000" w:sz="4" w:space="0"/>
            </w:tcBorders>
            <w:vAlign w:val="center"/>
          </w:tcPr>
          <w:p w14:paraId="7D9A738A">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消耗量</w:t>
            </w:r>
          </w:p>
        </w:tc>
        <w:tc>
          <w:tcPr>
            <w:tcW w:w="177" w:type="pct"/>
            <w:tcBorders>
              <w:top w:val="single" w:color="000000" w:sz="4" w:space="0"/>
              <w:left w:val="single" w:color="000000" w:sz="4" w:space="0"/>
              <w:bottom w:val="single" w:color="000000" w:sz="4" w:space="0"/>
              <w:right w:val="single" w:color="000000" w:sz="4" w:space="0"/>
            </w:tcBorders>
            <w:vAlign w:val="center"/>
          </w:tcPr>
          <w:p w14:paraId="294F69B9">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单位</w:t>
            </w:r>
          </w:p>
        </w:tc>
        <w:tc>
          <w:tcPr>
            <w:tcW w:w="1129" w:type="pct"/>
            <w:gridSpan w:val="2"/>
            <w:tcBorders>
              <w:top w:val="single" w:color="000000" w:sz="4" w:space="0"/>
              <w:left w:val="single" w:color="000000" w:sz="4" w:space="0"/>
              <w:bottom w:val="single" w:color="000000" w:sz="4" w:space="0"/>
              <w:right w:val="single" w:color="000000" w:sz="4" w:space="0"/>
            </w:tcBorders>
            <w:vAlign w:val="center"/>
          </w:tcPr>
          <w:p w14:paraId="6697A9F5">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低位发热量</w:t>
            </w:r>
          </w:p>
        </w:tc>
        <w:tc>
          <w:tcPr>
            <w:tcW w:w="1691" w:type="pct"/>
            <w:gridSpan w:val="2"/>
            <w:tcBorders>
              <w:top w:val="single" w:color="000000" w:sz="4" w:space="0"/>
              <w:left w:val="single" w:color="000000" w:sz="4" w:space="0"/>
              <w:bottom w:val="single" w:color="000000" w:sz="4" w:space="0"/>
              <w:right w:val="single" w:color="000000" w:sz="8" w:space="0"/>
            </w:tcBorders>
            <w:vAlign w:val="center"/>
          </w:tcPr>
          <w:p w14:paraId="63600E58">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详细情况说明</w:t>
            </w:r>
          </w:p>
        </w:tc>
      </w:tr>
      <w:tr w14:paraId="23942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000000" w:sz="4" w:space="0"/>
              <w:right w:val="single" w:color="000000" w:sz="4" w:space="0"/>
            </w:tcBorders>
            <w:vAlign w:val="center"/>
          </w:tcPr>
          <w:p w14:paraId="34C64DB7">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36A03B20">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电力</w:t>
            </w:r>
          </w:p>
        </w:tc>
        <w:tc>
          <w:tcPr>
            <w:tcW w:w="264" w:type="pct"/>
            <w:tcBorders>
              <w:top w:val="single" w:color="000000" w:sz="4" w:space="0"/>
              <w:left w:val="single" w:color="000000" w:sz="4" w:space="0"/>
              <w:bottom w:val="single" w:color="000000" w:sz="4" w:space="0"/>
              <w:right w:val="single" w:color="000000" w:sz="4" w:space="0"/>
            </w:tcBorders>
            <w:vAlign w:val="center"/>
          </w:tcPr>
          <w:p w14:paraId="3C0905B4">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2CA461">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kW</w:t>
            </w:r>
            <w:r>
              <w:rPr>
                <w:rFonts w:hint="eastAsia" w:ascii="Times New Roman" w:hAnsi="Times New Roman" w:eastAsia="Times New Roman"/>
                <w:kern w:val="0"/>
                <w:sz w:val="18"/>
                <w:szCs w:val="18"/>
              </w:rPr>
              <w:t>·</w:t>
            </w:r>
            <w:r>
              <w:rPr>
                <w:rFonts w:hint="eastAsia" w:ascii="宋体" w:hAnsi="宋体" w:eastAsia="Times New Roman"/>
                <w:kern w:val="0"/>
                <w:sz w:val="18"/>
                <w:szCs w:val="18"/>
              </w:rPr>
              <w:t>h</w:t>
            </w:r>
          </w:p>
        </w:tc>
        <w:tc>
          <w:tcPr>
            <w:tcW w:w="1129" w:type="pct"/>
            <w:gridSpan w:val="2"/>
            <w:tcBorders>
              <w:top w:val="single" w:color="000000" w:sz="4" w:space="0"/>
              <w:left w:val="single" w:color="000000" w:sz="4" w:space="0"/>
              <w:bottom w:val="single" w:color="000000" w:sz="4" w:space="0"/>
              <w:right w:val="single" w:color="000000" w:sz="4" w:space="0"/>
            </w:tcBorders>
            <w:vAlign w:val="center"/>
          </w:tcPr>
          <w:p w14:paraId="68AAFCD8">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position w:val="-4"/>
                <w:sz w:val="18"/>
                <w:szCs w:val="18"/>
              </w:rPr>
              <w:t>一</w:t>
            </w:r>
          </w:p>
        </w:tc>
        <w:tc>
          <w:tcPr>
            <w:tcW w:w="1691" w:type="pct"/>
            <w:gridSpan w:val="2"/>
            <w:tcBorders>
              <w:top w:val="single" w:color="000000" w:sz="4" w:space="0"/>
              <w:left w:val="single" w:color="000000" w:sz="4" w:space="0"/>
              <w:bottom w:val="single" w:color="000000" w:sz="4" w:space="0"/>
              <w:right w:val="single" w:color="000000" w:sz="8" w:space="0"/>
            </w:tcBorders>
            <w:vAlign w:val="center"/>
          </w:tcPr>
          <w:p w14:paraId="02B2E1FC">
            <w:pPr>
              <w:widowControl/>
              <w:autoSpaceDE w:val="0"/>
              <w:autoSpaceDN w:val="0"/>
              <w:adjustRightInd/>
              <w:spacing w:line="240" w:lineRule="auto"/>
              <w:jc w:val="center"/>
              <w:rPr>
                <w:rFonts w:ascii="宋体" w:hAnsi="Times New Roman" w:eastAsia="Times New Roman"/>
                <w:kern w:val="0"/>
                <w:sz w:val="18"/>
                <w:szCs w:val="18"/>
              </w:rPr>
            </w:pPr>
          </w:p>
        </w:tc>
      </w:tr>
      <w:tr w14:paraId="48E79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000000" w:sz="4" w:space="0"/>
              <w:right w:val="single" w:color="000000" w:sz="4" w:space="0"/>
            </w:tcBorders>
            <w:vAlign w:val="center"/>
          </w:tcPr>
          <w:p w14:paraId="05FBCE9C">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2831F072">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煤</w:t>
            </w:r>
          </w:p>
        </w:tc>
        <w:tc>
          <w:tcPr>
            <w:tcW w:w="264" w:type="pct"/>
            <w:tcBorders>
              <w:top w:val="single" w:color="000000" w:sz="4" w:space="0"/>
              <w:left w:val="single" w:color="000000" w:sz="4" w:space="0"/>
              <w:bottom w:val="single" w:color="000000" w:sz="4" w:space="0"/>
              <w:right w:val="single" w:color="000000" w:sz="4" w:space="0"/>
            </w:tcBorders>
            <w:vAlign w:val="center"/>
          </w:tcPr>
          <w:p w14:paraId="1EE1FA9E">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E583186">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t</w:t>
            </w:r>
          </w:p>
        </w:tc>
        <w:tc>
          <w:tcPr>
            <w:tcW w:w="1129" w:type="pct"/>
            <w:gridSpan w:val="2"/>
            <w:tcBorders>
              <w:top w:val="single" w:color="000000" w:sz="4" w:space="0"/>
              <w:left w:val="single" w:color="000000" w:sz="4" w:space="0"/>
              <w:bottom w:val="single" w:color="000000" w:sz="4" w:space="0"/>
              <w:right w:val="single" w:color="000000" w:sz="4" w:space="0"/>
            </w:tcBorders>
            <w:vAlign w:val="center"/>
          </w:tcPr>
          <w:p w14:paraId="7870CF5F">
            <w:pPr>
              <w:widowControl/>
              <w:autoSpaceDE w:val="0"/>
              <w:autoSpaceDN w:val="0"/>
              <w:adjustRightInd/>
              <w:spacing w:line="240" w:lineRule="auto"/>
              <w:jc w:val="center"/>
              <w:rPr>
                <w:rFonts w:ascii="宋体" w:hAnsi="Times New Roman" w:eastAsia="Times New Roman"/>
                <w:kern w:val="0"/>
                <w:sz w:val="18"/>
                <w:szCs w:val="18"/>
              </w:rPr>
            </w:pPr>
          </w:p>
        </w:tc>
        <w:tc>
          <w:tcPr>
            <w:tcW w:w="1691" w:type="pct"/>
            <w:gridSpan w:val="2"/>
            <w:tcBorders>
              <w:top w:val="single" w:color="000000" w:sz="4" w:space="0"/>
              <w:left w:val="single" w:color="000000" w:sz="4" w:space="0"/>
              <w:bottom w:val="single" w:color="000000" w:sz="4" w:space="0"/>
              <w:right w:val="single" w:color="000000" w:sz="8" w:space="0"/>
            </w:tcBorders>
            <w:vAlign w:val="center"/>
          </w:tcPr>
          <w:p w14:paraId="1AD06CB8">
            <w:pPr>
              <w:widowControl/>
              <w:autoSpaceDE w:val="0"/>
              <w:autoSpaceDN w:val="0"/>
              <w:adjustRightInd/>
              <w:spacing w:line="240" w:lineRule="auto"/>
              <w:jc w:val="center"/>
              <w:rPr>
                <w:rFonts w:ascii="宋体" w:hAnsi="Times New Roman" w:eastAsia="Times New Roman"/>
                <w:kern w:val="0"/>
                <w:sz w:val="18"/>
                <w:szCs w:val="18"/>
              </w:rPr>
            </w:pPr>
          </w:p>
        </w:tc>
      </w:tr>
      <w:tr w14:paraId="2C2F0B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000000" w:sz="4" w:space="0"/>
              <w:right w:val="single" w:color="000000" w:sz="4" w:space="0"/>
            </w:tcBorders>
            <w:vAlign w:val="center"/>
          </w:tcPr>
          <w:p w14:paraId="7781B2CC">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45B543F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柴油</w:t>
            </w:r>
          </w:p>
        </w:tc>
        <w:tc>
          <w:tcPr>
            <w:tcW w:w="264" w:type="pct"/>
            <w:tcBorders>
              <w:top w:val="single" w:color="000000" w:sz="4" w:space="0"/>
              <w:left w:val="single" w:color="000000" w:sz="4" w:space="0"/>
              <w:bottom w:val="single" w:color="000000" w:sz="4" w:space="0"/>
              <w:right w:val="single" w:color="000000" w:sz="4" w:space="0"/>
            </w:tcBorders>
            <w:vAlign w:val="center"/>
          </w:tcPr>
          <w:p w14:paraId="55FCCD9E">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E690867">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t</w:t>
            </w:r>
          </w:p>
        </w:tc>
        <w:tc>
          <w:tcPr>
            <w:tcW w:w="1129" w:type="pct"/>
            <w:gridSpan w:val="2"/>
            <w:tcBorders>
              <w:top w:val="single" w:color="000000" w:sz="4" w:space="0"/>
              <w:left w:val="single" w:color="000000" w:sz="4" w:space="0"/>
              <w:bottom w:val="single" w:color="000000" w:sz="4" w:space="0"/>
              <w:right w:val="single" w:color="000000" w:sz="4" w:space="0"/>
            </w:tcBorders>
            <w:vAlign w:val="center"/>
          </w:tcPr>
          <w:p w14:paraId="7E7447BB">
            <w:pPr>
              <w:widowControl/>
              <w:autoSpaceDE w:val="0"/>
              <w:autoSpaceDN w:val="0"/>
              <w:adjustRightInd/>
              <w:spacing w:line="240" w:lineRule="auto"/>
              <w:jc w:val="center"/>
              <w:rPr>
                <w:rFonts w:ascii="宋体" w:hAnsi="Times New Roman" w:eastAsia="Times New Roman"/>
                <w:kern w:val="0"/>
                <w:sz w:val="18"/>
                <w:szCs w:val="18"/>
              </w:rPr>
            </w:pPr>
          </w:p>
        </w:tc>
        <w:tc>
          <w:tcPr>
            <w:tcW w:w="1691" w:type="pct"/>
            <w:gridSpan w:val="2"/>
            <w:tcBorders>
              <w:top w:val="single" w:color="000000" w:sz="4" w:space="0"/>
              <w:left w:val="single" w:color="000000" w:sz="4" w:space="0"/>
              <w:bottom w:val="single" w:color="000000" w:sz="4" w:space="0"/>
              <w:right w:val="single" w:color="000000" w:sz="8" w:space="0"/>
            </w:tcBorders>
            <w:vAlign w:val="center"/>
          </w:tcPr>
          <w:p w14:paraId="4DF0DBDA">
            <w:pPr>
              <w:widowControl/>
              <w:autoSpaceDE w:val="0"/>
              <w:autoSpaceDN w:val="0"/>
              <w:adjustRightInd/>
              <w:spacing w:line="240" w:lineRule="auto"/>
              <w:jc w:val="center"/>
              <w:rPr>
                <w:rFonts w:ascii="宋体" w:hAnsi="Times New Roman" w:eastAsia="Times New Roman"/>
                <w:kern w:val="0"/>
                <w:sz w:val="18"/>
                <w:szCs w:val="18"/>
              </w:rPr>
            </w:pPr>
          </w:p>
        </w:tc>
      </w:tr>
      <w:tr w14:paraId="47228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000000" w:sz="4" w:space="0"/>
              <w:right w:val="single" w:color="000000" w:sz="4" w:space="0"/>
            </w:tcBorders>
            <w:vAlign w:val="center"/>
          </w:tcPr>
          <w:p w14:paraId="23C77E76">
            <w:pPr>
              <w:widowControl/>
              <w:adjustRightInd/>
              <w:spacing w:line="240" w:lineRule="auto"/>
              <w:jc w:val="left"/>
              <w:rPr>
                <w:rFonts w:ascii="宋体" w:hAnsi="Times New Roman" w:eastAsia="Times New Roman"/>
                <w:kern w:val="0"/>
                <w:sz w:val="18"/>
                <w:szCs w:val="18"/>
              </w:rPr>
            </w:pP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374B4A10">
            <w:pPr>
              <w:widowControl/>
              <w:autoSpaceDE w:val="0"/>
              <w:autoSpaceDN w:val="0"/>
              <w:adjustRightInd/>
              <w:spacing w:line="240" w:lineRule="auto"/>
              <w:jc w:val="center"/>
              <w:rPr>
                <w:rFonts w:ascii="宋体" w:hAnsi="Times New Roman" w:eastAsia="Times New Roman"/>
                <w:kern w:val="0"/>
                <w:sz w:val="18"/>
                <w:szCs w:val="18"/>
              </w:rPr>
            </w:pPr>
            <w:r>
              <w:rPr>
                <w:rFonts w:hint="eastAsia" w:ascii="Times New Roman" w:hAnsi="Times New Roman" w:eastAsia="Times New Roman"/>
                <w:kern w:val="0"/>
                <w:sz w:val="18"/>
                <w:szCs w:val="18"/>
              </w:rPr>
              <w:t>……</w:t>
            </w:r>
          </w:p>
        </w:tc>
        <w:tc>
          <w:tcPr>
            <w:tcW w:w="264" w:type="pct"/>
            <w:tcBorders>
              <w:top w:val="single" w:color="000000" w:sz="4" w:space="0"/>
              <w:left w:val="single" w:color="000000" w:sz="4" w:space="0"/>
              <w:bottom w:val="single" w:color="000000" w:sz="4" w:space="0"/>
              <w:right w:val="single" w:color="000000" w:sz="4" w:space="0"/>
            </w:tcBorders>
            <w:vAlign w:val="center"/>
          </w:tcPr>
          <w:p w14:paraId="5E650F71">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0E54C4">
            <w:pPr>
              <w:widowControl/>
              <w:autoSpaceDE w:val="0"/>
              <w:autoSpaceDN w:val="0"/>
              <w:adjustRightInd/>
              <w:spacing w:line="240" w:lineRule="auto"/>
              <w:jc w:val="center"/>
              <w:rPr>
                <w:rFonts w:ascii="宋体" w:hAnsi="Times New Roman" w:eastAsia="Times New Roman"/>
                <w:kern w:val="0"/>
                <w:sz w:val="18"/>
                <w:szCs w:val="18"/>
              </w:rPr>
            </w:pPr>
            <w:r>
              <w:rPr>
                <w:rFonts w:hint="eastAsia" w:ascii="Times New Roman" w:hAnsi="Times New Roman" w:eastAsia="Times New Roman"/>
                <w:kern w:val="0"/>
                <w:sz w:val="18"/>
                <w:szCs w:val="18"/>
              </w:rPr>
              <w:t>……</w:t>
            </w:r>
          </w:p>
        </w:tc>
        <w:tc>
          <w:tcPr>
            <w:tcW w:w="1129" w:type="pct"/>
            <w:gridSpan w:val="2"/>
            <w:tcBorders>
              <w:top w:val="single" w:color="000000" w:sz="4" w:space="0"/>
              <w:left w:val="single" w:color="000000" w:sz="4" w:space="0"/>
              <w:bottom w:val="single" w:color="000000" w:sz="4" w:space="0"/>
              <w:right w:val="single" w:color="000000" w:sz="4" w:space="0"/>
            </w:tcBorders>
            <w:vAlign w:val="center"/>
          </w:tcPr>
          <w:p w14:paraId="4ED6C090">
            <w:pPr>
              <w:widowControl/>
              <w:autoSpaceDE w:val="0"/>
              <w:autoSpaceDN w:val="0"/>
              <w:adjustRightInd/>
              <w:spacing w:line="240" w:lineRule="auto"/>
              <w:jc w:val="center"/>
              <w:rPr>
                <w:rFonts w:ascii="宋体" w:hAnsi="Times New Roman" w:eastAsia="Times New Roman"/>
                <w:kern w:val="0"/>
                <w:sz w:val="18"/>
                <w:szCs w:val="18"/>
              </w:rPr>
            </w:pPr>
          </w:p>
        </w:tc>
        <w:tc>
          <w:tcPr>
            <w:tcW w:w="1691" w:type="pct"/>
            <w:gridSpan w:val="2"/>
            <w:tcBorders>
              <w:top w:val="single" w:color="000000" w:sz="4" w:space="0"/>
              <w:left w:val="single" w:color="000000" w:sz="4" w:space="0"/>
              <w:bottom w:val="single" w:color="000000" w:sz="4" w:space="0"/>
              <w:right w:val="single" w:color="000000" w:sz="8" w:space="0"/>
            </w:tcBorders>
            <w:vAlign w:val="center"/>
          </w:tcPr>
          <w:p w14:paraId="1FA63A98">
            <w:pPr>
              <w:widowControl/>
              <w:autoSpaceDE w:val="0"/>
              <w:autoSpaceDN w:val="0"/>
              <w:adjustRightInd/>
              <w:spacing w:line="240" w:lineRule="auto"/>
              <w:jc w:val="center"/>
              <w:rPr>
                <w:rFonts w:ascii="宋体" w:hAnsi="Times New Roman" w:eastAsia="Times New Roman"/>
                <w:kern w:val="0"/>
                <w:sz w:val="18"/>
                <w:szCs w:val="18"/>
              </w:rPr>
            </w:pPr>
          </w:p>
        </w:tc>
      </w:tr>
      <w:tr w14:paraId="44640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restart"/>
            <w:tcBorders>
              <w:top w:val="nil"/>
              <w:left w:val="single" w:color="000000" w:sz="8" w:space="0"/>
              <w:bottom w:val="single" w:color="000000" w:sz="4" w:space="0"/>
              <w:right w:val="single" w:color="000000" w:sz="4" w:space="0"/>
            </w:tcBorders>
            <w:vAlign w:val="center"/>
          </w:tcPr>
          <w:p w14:paraId="4A1B9C05">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环境排放</w:t>
            </w:r>
          </w:p>
        </w:tc>
        <w:tc>
          <w:tcPr>
            <w:tcW w:w="1061" w:type="pct"/>
            <w:gridSpan w:val="2"/>
            <w:tcBorders>
              <w:top w:val="single" w:color="000000" w:sz="4" w:space="0"/>
              <w:left w:val="single" w:color="000000" w:sz="4" w:space="0"/>
              <w:bottom w:val="single" w:color="000000" w:sz="4" w:space="0"/>
              <w:right w:val="single" w:color="000000" w:sz="4" w:space="0"/>
            </w:tcBorders>
            <w:vAlign w:val="center"/>
          </w:tcPr>
          <w:p w14:paraId="203D54CB">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种类</w:t>
            </w:r>
          </w:p>
        </w:tc>
        <w:tc>
          <w:tcPr>
            <w:tcW w:w="264" w:type="pct"/>
            <w:tcBorders>
              <w:top w:val="single" w:color="000000" w:sz="4" w:space="0"/>
              <w:left w:val="single" w:color="000000" w:sz="4" w:space="0"/>
              <w:bottom w:val="single" w:color="000000" w:sz="4" w:space="0"/>
              <w:right w:val="single" w:color="000000" w:sz="4" w:space="0"/>
            </w:tcBorders>
            <w:vAlign w:val="center"/>
          </w:tcPr>
          <w:p w14:paraId="6BEAB59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排放量</w:t>
            </w:r>
          </w:p>
        </w:tc>
        <w:tc>
          <w:tcPr>
            <w:tcW w:w="177" w:type="pct"/>
            <w:tcBorders>
              <w:top w:val="single" w:color="000000" w:sz="4" w:space="0"/>
              <w:left w:val="single" w:color="000000" w:sz="4" w:space="0"/>
              <w:bottom w:val="single" w:color="000000" w:sz="4" w:space="0"/>
              <w:right w:val="single" w:color="000000" w:sz="4" w:space="0"/>
            </w:tcBorders>
            <w:vAlign w:val="center"/>
          </w:tcPr>
          <w:p w14:paraId="2644D3B2">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单位</w:t>
            </w:r>
          </w:p>
        </w:tc>
        <w:tc>
          <w:tcPr>
            <w:tcW w:w="1129" w:type="pct"/>
            <w:gridSpan w:val="2"/>
            <w:tcBorders>
              <w:top w:val="single" w:color="000000" w:sz="4" w:space="0"/>
              <w:left w:val="single" w:color="000000" w:sz="4" w:space="0"/>
              <w:bottom w:val="single" w:color="000000" w:sz="4" w:space="0"/>
              <w:right w:val="single" w:color="000000" w:sz="4" w:space="0"/>
            </w:tcBorders>
            <w:vAlign w:val="center"/>
          </w:tcPr>
          <w:p w14:paraId="397A20EA">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数据来源</w:t>
            </w:r>
            <w:r>
              <w:rPr>
                <w:rFonts w:hint="eastAsia" w:ascii="宋体" w:hAnsi="Times New Roman" w:eastAsia="Times New Roman"/>
                <w:kern w:val="0"/>
                <w:sz w:val="18"/>
                <w:szCs w:val="18"/>
              </w:rPr>
              <w:t>(如：在线监测或定期环境检测报告)</w:t>
            </w:r>
          </w:p>
        </w:tc>
        <w:tc>
          <w:tcPr>
            <w:tcW w:w="1691" w:type="pct"/>
            <w:gridSpan w:val="2"/>
            <w:tcBorders>
              <w:top w:val="single" w:color="000000" w:sz="4" w:space="0"/>
              <w:left w:val="single" w:color="000000" w:sz="4" w:space="0"/>
              <w:bottom w:val="single" w:color="000000" w:sz="4" w:space="0"/>
              <w:right w:val="single" w:color="000000" w:sz="8" w:space="0"/>
            </w:tcBorders>
            <w:vAlign w:val="center"/>
          </w:tcPr>
          <w:p w14:paraId="1D4D954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详细情况说明</w:t>
            </w:r>
          </w:p>
        </w:tc>
      </w:tr>
      <w:tr w14:paraId="5B976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000000" w:sz="4" w:space="0"/>
              <w:right w:val="single" w:color="000000" w:sz="4" w:space="0"/>
            </w:tcBorders>
            <w:vAlign w:val="center"/>
          </w:tcPr>
          <w:p w14:paraId="4C5B450E">
            <w:pPr>
              <w:widowControl/>
              <w:adjustRightInd/>
              <w:spacing w:line="240" w:lineRule="auto"/>
              <w:jc w:val="left"/>
              <w:rPr>
                <w:rFonts w:ascii="宋体" w:hAnsi="Times New Roman" w:eastAsia="Times New Roman"/>
                <w:kern w:val="0"/>
                <w:sz w:val="18"/>
                <w:szCs w:val="18"/>
              </w:rPr>
            </w:pPr>
          </w:p>
        </w:tc>
        <w:tc>
          <w:tcPr>
            <w:tcW w:w="712" w:type="pct"/>
            <w:vMerge w:val="restart"/>
            <w:tcBorders>
              <w:top w:val="nil"/>
              <w:left w:val="single" w:color="000000" w:sz="4" w:space="0"/>
              <w:bottom w:val="nil"/>
              <w:right w:val="single" w:color="000000" w:sz="4" w:space="0"/>
            </w:tcBorders>
            <w:vAlign w:val="center"/>
          </w:tcPr>
          <w:p w14:paraId="7874E925">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大气排放</w:t>
            </w:r>
          </w:p>
        </w:tc>
        <w:tc>
          <w:tcPr>
            <w:tcW w:w="349" w:type="pct"/>
            <w:tcBorders>
              <w:top w:val="single" w:color="000000" w:sz="4" w:space="0"/>
              <w:left w:val="single" w:color="000000" w:sz="4" w:space="0"/>
              <w:bottom w:val="single" w:color="000000" w:sz="4" w:space="0"/>
              <w:right w:val="single" w:color="000000" w:sz="4" w:space="0"/>
            </w:tcBorders>
            <w:vAlign w:val="center"/>
          </w:tcPr>
          <w:p w14:paraId="38212FE5">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二氧化碳</w:t>
            </w:r>
          </w:p>
        </w:tc>
        <w:tc>
          <w:tcPr>
            <w:tcW w:w="264" w:type="pct"/>
            <w:tcBorders>
              <w:top w:val="single" w:color="000000" w:sz="4" w:space="0"/>
              <w:left w:val="single" w:color="000000" w:sz="4" w:space="0"/>
              <w:bottom w:val="single" w:color="000000" w:sz="4" w:space="0"/>
              <w:right w:val="single" w:color="000000" w:sz="4" w:space="0"/>
            </w:tcBorders>
            <w:vAlign w:val="center"/>
          </w:tcPr>
          <w:p w14:paraId="6C373CFB">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2B4C6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t</w:t>
            </w:r>
          </w:p>
        </w:tc>
        <w:tc>
          <w:tcPr>
            <w:tcW w:w="1129" w:type="pct"/>
            <w:gridSpan w:val="2"/>
            <w:tcBorders>
              <w:top w:val="single" w:color="000000" w:sz="4" w:space="0"/>
              <w:left w:val="single" w:color="000000" w:sz="4" w:space="0"/>
              <w:bottom w:val="single" w:color="000000" w:sz="4" w:space="0"/>
              <w:right w:val="single" w:color="000000" w:sz="4" w:space="0"/>
            </w:tcBorders>
            <w:vAlign w:val="center"/>
          </w:tcPr>
          <w:p w14:paraId="7E1E5EAF">
            <w:pPr>
              <w:widowControl/>
              <w:autoSpaceDE w:val="0"/>
              <w:autoSpaceDN w:val="0"/>
              <w:adjustRightInd/>
              <w:spacing w:line="240" w:lineRule="auto"/>
              <w:jc w:val="center"/>
              <w:rPr>
                <w:rFonts w:ascii="宋体" w:hAnsi="Times New Roman" w:eastAsia="Times New Roman"/>
                <w:kern w:val="0"/>
                <w:sz w:val="18"/>
                <w:szCs w:val="18"/>
              </w:rPr>
            </w:pPr>
          </w:p>
        </w:tc>
        <w:tc>
          <w:tcPr>
            <w:tcW w:w="1691" w:type="pct"/>
            <w:gridSpan w:val="2"/>
            <w:tcBorders>
              <w:top w:val="single" w:color="000000" w:sz="4" w:space="0"/>
              <w:left w:val="single" w:color="000000" w:sz="4" w:space="0"/>
              <w:bottom w:val="single" w:color="000000" w:sz="4" w:space="0"/>
              <w:right w:val="single" w:color="000000" w:sz="8" w:space="0"/>
            </w:tcBorders>
            <w:vAlign w:val="center"/>
          </w:tcPr>
          <w:p w14:paraId="6E234EEA">
            <w:pPr>
              <w:widowControl/>
              <w:autoSpaceDE w:val="0"/>
              <w:autoSpaceDN w:val="0"/>
              <w:adjustRightInd/>
              <w:spacing w:line="240" w:lineRule="auto"/>
              <w:jc w:val="center"/>
              <w:rPr>
                <w:rFonts w:ascii="宋体" w:hAnsi="Times New Roman" w:eastAsia="Times New Roman"/>
                <w:kern w:val="0"/>
                <w:sz w:val="18"/>
                <w:szCs w:val="18"/>
              </w:rPr>
            </w:pPr>
          </w:p>
        </w:tc>
      </w:tr>
      <w:tr w14:paraId="2FAFC2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000000" w:sz="4" w:space="0"/>
              <w:right w:val="single" w:color="000000" w:sz="4" w:space="0"/>
            </w:tcBorders>
            <w:vAlign w:val="center"/>
          </w:tcPr>
          <w:p w14:paraId="59EC5989">
            <w:pPr>
              <w:widowControl/>
              <w:adjustRightInd/>
              <w:spacing w:line="240" w:lineRule="auto"/>
              <w:jc w:val="left"/>
              <w:rPr>
                <w:rFonts w:ascii="宋体" w:hAnsi="Times New Roman" w:eastAsia="Times New Roman"/>
                <w:kern w:val="0"/>
                <w:sz w:val="18"/>
                <w:szCs w:val="18"/>
              </w:rPr>
            </w:pPr>
          </w:p>
        </w:tc>
        <w:tc>
          <w:tcPr>
            <w:tcW w:w="712" w:type="pct"/>
            <w:vMerge w:val="continue"/>
            <w:tcBorders>
              <w:top w:val="nil"/>
              <w:left w:val="single" w:color="000000" w:sz="4" w:space="0"/>
              <w:bottom w:val="nil"/>
              <w:right w:val="single" w:color="000000" w:sz="4" w:space="0"/>
            </w:tcBorders>
            <w:vAlign w:val="center"/>
          </w:tcPr>
          <w:p w14:paraId="5B33C884">
            <w:pPr>
              <w:widowControl/>
              <w:adjustRightInd/>
              <w:spacing w:line="240" w:lineRule="auto"/>
              <w:jc w:val="left"/>
              <w:rPr>
                <w:rFonts w:ascii="宋体" w:hAnsi="Times New Roman" w:eastAsia="Times New Roman"/>
                <w:kern w:val="0"/>
                <w:sz w:val="18"/>
                <w:szCs w:val="18"/>
              </w:rPr>
            </w:pPr>
          </w:p>
        </w:tc>
        <w:tc>
          <w:tcPr>
            <w:tcW w:w="349" w:type="pct"/>
            <w:tcBorders>
              <w:top w:val="single" w:color="000000" w:sz="4" w:space="0"/>
              <w:left w:val="single" w:color="000000" w:sz="4" w:space="0"/>
              <w:bottom w:val="single" w:color="000000" w:sz="4" w:space="0"/>
              <w:right w:val="single" w:color="000000" w:sz="4" w:space="0"/>
            </w:tcBorders>
            <w:vAlign w:val="center"/>
          </w:tcPr>
          <w:p w14:paraId="6CA0516F">
            <w:pPr>
              <w:widowControl/>
              <w:autoSpaceDE w:val="0"/>
              <w:autoSpaceDN w:val="0"/>
              <w:adjustRightInd/>
              <w:spacing w:line="240" w:lineRule="auto"/>
              <w:jc w:val="center"/>
              <w:rPr>
                <w:rFonts w:ascii="宋体" w:hAnsi="Times New Roman" w:eastAsia="Times New Roman"/>
                <w:kern w:val="0"/>
                <w:sz w:val="18"/>
                <w:szCs w:val="18"/>
              </w:rPr>
            </w:pPr>
            <w:r>
              <w:rPr>
                <w:rFonts w:hint="eastAsia" w:ascii="Times New Roman" w:hAnsi="Times New Roman" w:eastAsia="Times New Roman"/>
                <w:kern w:val="0"/>
                <w:sz w:val="18"/>
                <w:szCs w:val="18"/>
              </w:rPr>
              <w:t>……</w:t>
            </w:r>
          </w:p>
        </w:tc>
        <w:tc>
          <w:tcPr>
            <w:tcW w:w="264" w:type="pct"/>
            <w:tcBorders>
              <w:top w:val="single" w:color="000000" w:sz="4" w:space="0"/>
              <w:left w:val="single" w:color="000000" w:sz="4" w:space="0"/>
              <w:bottom w:val="single" w:color="000000" w:sz="4" w:space="0"/>
              <w:right w:val="single" w:color="000000" w:sz="4" w:space="0"/>
            </w:tcBorders>
            <w:vAlign w:val="center"/>
          </w:tcPr>
          <w:p w14:paraId="5D60F53A">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BAC8D1B">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t</w:t>
            </w:r>
          </w:p>
        </w:tc>
        <w:tc>
          <w:tcPr>
            <w:tcW w:w="1129" w:type="pct"/>
            <w:gridSpan w:val="2"/>
            <w:tcBorders>
              <w:top w:val="single" w:color="000000" w:sz="4" w:space="0"/>
              <w:left w:val="single" w:color="000000" w:sz="4" w:space="0"/>
              <w:bottom w:val="single" w:color="000000" w:sz="4" w:space="0"/>
              <w:right w:val="single" w:color="000000" w:sz="4" w:space="0"/>
            </w:tcBorders>
            <w:vAlign w:val="center"/>
          </w:tcPr>
          <w:p w14:paraId="55AE393F">
            <w:pPr>
              <w:widowControl/>
              <w:autoSpaceDE w:val="0"/>
              <w:autoSpaceDN w:val="0"/>
              <w:adjustRightInd/>
              <w:spacing w:line="240" w:lineRule="auto"/>
              <w:jc w:val="center"/>
              <w:rPr>
                <w:rFonts w:ascii="宋体" w:hAnsi="Times New Roman" w:eastAsia="Times New Roman"/>
                <w:kern w:val="0"/>
                <w:sz w:val="18"/>
                <w:szCs w:val="18"/>
              </w:rPr>
            </w:pPr>
          </w:p>
        </w:tc>
        <w:tc>
          <w:tcPr>
            <w:tcW w:w="1691" w:type="pct"/>
            <w:gridSpan w:val="2"/>
            <w:tcBorders>
              <w:top w:val="single" w:color="000000" w:sz="4" w:space="0"/>
              <w:left w:val="single" w:color="000000" w:sz="4" w:space="0"/>
              <w:bottom w:val="single" w:color="000000" w:sz="4" w:space="0"/>
              <w:right w:val="single" w:color="000000" w:sz="8" w:space="0"/>
            </w:tcBorders>
            <w:vAlign w:val="center"/>
          </w:tcPr>
          <w:p w14:paraId="17D70A38">
            <w:pPr>
              <w:widowControl/>
              <w:autoSpaceDE w:val="0"/>
              <w:autoSpaceDN w:val="0"/>
              <w:adjustRightInd/>
              <w:spacing w:line="240" w:lineRule="auto"/>
              <w:jc w:val="center"/>
              <w:rPr>
                <w:rFonts w:ascii="宋体" w:hAnsi="Times New Roman" w:eastAsia="Times New Roman"/>
                <w:kern w:val="0"/>
                <w:sz w:val="18"/>
                <w:szCs w:val="18"/>
              </w:rPr>
            </w:pPr>
          </w:p>
        </w:tc>
      </w:tr>
      <w:tr w14:paraId="3D807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000000" w:sz="4" w:space="0"/>
              <w:right w:val="single" w:color="000000" w:sz="4" w:space="0"/>
            </w:tcBorders>
            <w:vAlign w:val="center"/>
          </w:tcPr>
          <w:p w14:paraId="04B7909C">
            <w:pPr>
              <w:widowControl/>
              <w:adjustRightInd/>
              <w:spacing w:line="240" w:lineRule="auto"/>
              <w:jc w:val="left"/>
              <w:rPr>
                <w:rFonts w:ascii="宋体" w:hAnsi="Times New Roman" w:eastAsia="Times New Roman"/>
                <w:kern w:val="0"/>
                <w:sz w:val="18"/>
                <w:szCs w:val="18"/>
              </w:rPr>
            </w:pPr>
          </w:p>
        </w:tc>
        <w:tc>
          <w:tcPr>
            <w:tcW w:w="712" w:type="pct"/>
            <w:tcBorders>
              <w:top w:val="single" w:color="000000" w:sz="4" w:space="0"/>
              <w:left w:val="single" w:color="000000" w:sz="4" w:space="0"/>
              <w:bottom w:val="single" w:color="000000" w:sz="4" w:space="0"/>
              <w:right w:val="single" w:color="000000" w:sz="4" w:space="0"/>
            </w:tcBorders>
            <w:vAlign w:val="center"/>
          </w:tcPr>
          <w:p w14:paraId="113366A0">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固体废弃物排放</w:t>
            </w:r>
          </w:p>
        </w:tc>
        <w:tc>
          <w:tcPr>
            <w:tcW w:w="349" w:type="pct"/>
            <w:tcBorders>
              <w:top w:val="single" w:color="000000" w:sz="4" w:space="0"/>
              <w:left w:val="single" w:color="000000" w:sz="4" w:space="0"/>
              <w:bottom w:val="single" w:color="000000" w:sz="4" w:space="0"/>
              <w:right w:val="single" w:color="000000" w:sz="4" w:space="0"/>
            </w:tcBorders>
            <w:vAlign w:val="center"/>
          </w:tcPr>
          <w:p w14:paraId="7BF4B335">
            <w:pPr>
              <w:widowControl/>
              <w:autoSpaceDE w:val="0"/>
              <w:autoSpaceDN w:val="0"/>
              <w:adjustRightInd/>
              <w:spacing w:line="240" w:lineRule="auto"/>
              <w:jc w:val="center"/>
              <w:rPr>
                <w:rFonts w:ascii="宋体" w:hAnsi="Times New Roman" w:eastAsia="Times New Roman"/>
                <w:kern w:val="0"/>
                <w:sz w:val="18"/>
                <w:szCs w:val="18"/>
              </w:rPr>
            </w:pPr>
          </w:p>
        </w:tc>
        <w:tc>
          <w:tcPr>
            <w:tcW w:w="264" w:type="pct"/>
            <w:tcBorders>
              <w:top w:val="single" w:color="000000" w:sz="4" w:space="0"/>
              <w:left w:val="single" w:color="000000" w:sz="4" w:space="0"/>
              <w:bottom w:val="single" w:color="000000" w:sz="4" w:space="0"/>
              <w:right w:val="single" w:color="000000" w:sz="4" w:space="0"/>
            </w:tcBorders>
            <w:vAlign w:val="center"/>
          </w:tcPr>
          <w:p w14:paraId="758BE319">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2943730">
            <w:pPr>
              <w:widowControl/>
              <w:autoSpaceDE w:val="0"/>
              <w:autoSpaceDN w:val="0"/>
              <w:adjustRightInd/>
              <w:spacing w:line="240" w:lineRule="auto"/>
              <w:jc w:val="center"/>
              <w:rPr>
                <w:rFonts w:ascii="宋体" w:hAnsi="Times New Roman" w:eastAsia="Times New Roman"/>
                <w:kern w:val="0"/>
                <w:sz w:val="18"/>
                <w:szCs w:val="18"/>
              </w:rPr>
            </w:pPr>
          </w:p>
        </w:tc>
        <w:tc>
          <w:tcPr>
            <w:tcW w:w="1129" w:type="pct"/>
            <w:gridSpan w:val="2"/>
            <w:tcBorders>
              <w:top w:val="single" w:color="000000" w:sz="4" w:space="0"/>
              <w:left w:val="single" w:color="000000" w:sz="4" w:space="0"/>
              <w:bottom w:val="single" w:color="000000" w:sz="4" w:space="0"/>
              <w:right w:val="single" w:color="000000" w:sz="4" w:space="0"/>
            </w:tcBorders>
            <w:vAlign w:val="center"/>
          </w:tcPr>
          <w:p w14:paraId="5B15DEB7">
            <w:pPr>
              <w:widowControl/>
              <w:autoSpaceDE w:val="0"/>
              <w:autoSpaceDN w:val="0"/>
              <w:adjustRightInd/>
              <w:spacing w:line="240" w:lineRule="auto"/>
              <w:jc w:val="center"/>
              <w:rPr>
                <w:rFonts w:ascii="宋体" w:hAnsi="Times New Roman" w:eastAsia="Times New Roman"/>
                <w:kern w:val="0"/>
                <w:sz w:val="18"/>
                <w:szCs w:val="18"/>
              </w:rPr>
            </w:pPr>
          </w:p>
        </w:tc>
        <w:tc>
          <w:tcPr>
            <w:tcW w:w="1691" w:type="pct"/>
            <w:gridSpan w:val="2"/>
            <w:tcBorders>
              <w:top w:val="single" w:color="000000" w:sz="4" w:space="0"/>
              <w:left w:val="single" w:color="000000" w:sz="4" w:space="0"/>
              <w:bottom w:val="single" w:color="000000" w:sz="4" w:space="0"/>
              <w:right w:val="single" w:color="000000" w:sz="8" w:space="0"/>
            </w:tcBorders>
            <w:vAlign w:val="center"/>
          </w:tcPr>
          <w:p w14:paraId="710DE7BF">
            <w:pPr>
              <w:widowControl/>
              <w:autoSpaceDE w:val="0"/>
              <w:autoSpaceDN w:val="0"/>
              <w:adjustRightInd/>
              <w:spacing w:line="240" w:lineRule="auto"/>
              <w:jc w:val="center"/>
              <w:rPr>
                <w:rFonts w:ascii="宋体" w:hAnsi="Times New Roman" w:eastAsia="Times New Roman"/>
                <w:kern w:val="0"/>
                <w:sz w:val="18"/>
                <w:szCs w:val="18"/>
              </w:rPr>
            </w:pPr>
          </w:p>
        </w:tc>
      </w:tr>
      <w:tr w14:paraId="25C80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678" w:type="pct"/>
            <w:vMerge w:val="continue"/>
            <w:tcBorders>
              <w:top w:val="nil"/>
              <w:left w:val="single" w:color="000000" w:sz="8" w:space="0"/>
              <w:bottom w:val="single" w:color="auto" w:sz="8" w:space="0"/>
              <w:right w:val="single" w:color="000000" w:sz="4" w:space="0"/>
            </w:tcBorders>
            <w:vAlign w:val="center"/>
          </w:tcPr>
          <w:p w14:paraId="05A26801">
            <w:pPr>
              <w:widowControl/>
              <w:adjustRightInd/>
              <w:spacing w:line="240" w:lineRule="auto"/>
              <w:jc w:val="left"/>
              <w:rPr>
                <w:rFonts w:ascii="宋体" w:hAnsi="Times New Roman" w:eastAsia="Times New Roman"/>
                <w:kern w:val="0"/>
                <w:sz w:val="18"/>
                <w:szCs w:val="18"/>
              </w:rPr>
            </w:pPr>
          </w:p>
        </w:tc>
        <w:tc>
          <w:tcPr>
            <w:tcW w:w="712" w:type="pct"/>
            <w:tcBorders>
              <w:top w:val="single" w:color="000000" w:sz="4" w:space="0"/>
              <w:left w:val="single" w:color="000000" w:sz="4" w:space="0"/>
              <w:bottom w:val="single" w:color="auto" w:sz="8" w:space="0"/>
              <w:right w:val="single" w:color="000000" w:sz="4" w:space="0"/>
            </w:tcBorders>
            <w:vAlign w:val="center"/>
          </w:tcPr>
          <w:p w14:paraId="43FA5406">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废水排放</w:t>
            </w:r>
          </w:p>
        </w:tc>
        <w:tc>
          <w:tcPr>
            <w:tcW w:w="349" w:type="pct"/>
            <w:tcBorders>
              <w:top w:val="single" w:color="000000" w:sz="4" w:space="0"/>
              <w:left w:val="single" w:color="000000" w:sz="4" w:space="0"/>
              <w:bottom w:val="single" w:color="auto" w:sz="8" w:space="0"/>
              <w:right w:val="single" w:color="000000" w:sz="4" w:space="0"/>
            </w:tcBorders>
            <w:vAlign w:val="center"/>
          </w:tcPr>
          <w:p w14:paraId="757653D3">
            <w:pPr>
              <w:widowControl/>
              <w:autoSpaceDE w:val="0"/>
              <w:autoSpaceDN w:val="0"/>
              <w:adjustRightInd/>
              <w:spacing w:line="240" w:lineRule="auto"/>
              <w:jc w:val="center"/>
              <w:rPr>
                <w:rFonts w:ascii="宋体" w:hAnsi="Times New Roman" w:eastAsia="Times New Roman"/>
                <w:kern w:val="0"/>
                <w:sz w:val="18"/>
                <w:szCs w:val="18"/>
              </w:rPr>
            </w:pPr>
          </w:p>
        </w:tc>
        <w:tc>
          <w:tcPr>
            <w:tcW w:w="264" w:type="pct"/>
            <w:tcBorders>
              <w:top w:val="single" w:color="000000" w:sz="4" w:space="0"/>
              <w:left w:val="single" w:color="000000" w:sz="4" w:space="0"/>
              <w:bottom w:val="single" w:color="auto" w:sz="8" w:space="0"/>
              <w:right w:val="single" w:color="000000" w:sz="4" w:space="0"/>
            </w:tcBorders>
            <w:vAlign w:val="center"/>
          </w:tcPr>
          <w:p w14:paraId="577ACA33">
            <w:pPr>
              <w:widowControl/>
              <w:autoSpaceDE w:val="0"/>
              <w:autoSpaceDN w:val="0"/>
              <w:adjustRightInd/>
              <w:spacing w:line="240" w:lineRule="auto"/>
              <w:jc w:val="center"/>
              <w:rPr>
                <w:rFonts w:ascii="宋体" w:hAnsi="Times New Roman" w:eastAsia="Times New Roman"/>
                <w:kern w:val="0"/>
                <w:sz w:val="18"/>
                <w:szCs w:val="18"/>
              </w:rPr>
            </w:pPr>
          </w:p>
        </w:tc>
        <w:tc>
          <w:tcPr>
            <w:tcW w:w="177" w:type="pct"/>
            <w:tcBorders>
              <w:top w:val="single" w:color="000000" w:sz="4" w:space="0"/>
              <w:left w:val="single" w:color="000000" w:sz="4" w:space="0"/>
              <w:bottom w:val="single" w:color="auto" w:sz="8" w:space="0"/>
              <w:right w:val="single" w:color="000000" w:sz="4" w:space="0"/>
            </w:tcBorders>
            <w:vAlign w:val="center"/>
          </w:tcPr>
          <w:p w14:paraId="1CABECCF">
            <w:pPr>
              <w:widowControl/>
              <w:autoSpaceDE w:val="0"/>
              <w:autoSpaceDN w:val="0"/>
              <w:adjustRightInd/>
              <w:spacing w:line="240" w:lineRule="auto"/>
              <w:jc w:val="center"/>
              <w:rPr>
                <w:rFonts w:ascii="宋体" w:hAnsi="Times New Roman" w:eastAsia="Times New Roman"/>
                <w:kern w:val="0"/>
                <w:sz w:val="18"/>
                <w:szCs w:val="18"/>
              </w:rPr>
            </w:pPr>
          </w:p>
        </w:tc>
        <w:tc>
          <w:tcPr>
            <w:tcW w:w="1129" w:type="pct"/>
            <w:gridSpan w:val="2"/>
            <w:tcBorders>
              <w:top w:val="single" w:color="000000" w:sz="4" w:space="0"/>
              <w:left w:val="single" w:color="000000" w:sz="4" w:space="0"/>
              <w:bottom w:val="single" w:color="auto" w:sz="8" w:space="0"/>
              <w:right w:val="single" w:color="000000" w:sz="4" w:space="0"/>
            </w:tcBorders>
            <w:vAlign w:val="center"/>
          </w:tcPr>
          <w:p w14:paraId="0AA8725B">
            <w:pPr>
              <w:widowControl/>
              <w:autoSpaceDE w:val="0"/>
              <w:autoSpaceDN w:val="0"/>
              <w:adjustRightInd/>
              <w:spacing w:line="240" w:lineRule="auto"/>
              <w:jc w:val="center"/>
              <w:rPr>
                <w:rFonts w:ascii="宋体" w:hAnsi="Times New Roman" w:eastAsia="Times New Roman"/>
                <w:kern w:val="0"/>
                <w:sz w:val="18"/>
                <w:szCs w:val="18"/>
              </w:rPr>
            </w:pPr>
          </w:p>
        </w:tc>
        <w:tc>
          <w:tcPr>
            <w:tcW w:w="1691" w:type="pct"/>
            <w:gridSpan w:val="2"/>
            <w:tcBorders>
              <w:top w:val="single" w:color="000000" w:sz="4" w:space="0"/>
              <w:left w:val="single" w:color="000000" w:sz="4" w:space="0"/>
              <w:bottom w:val="single" w:color="auto" w:sz="8" w:space="0"/>
              <w:right w:val="single" w:color="000000" w:sz="8" w:space="0"/>
            </w:tcBorders>
            <w:vAlign w:val="center"/>
          </w:tcPr>
          <w:p w14:paraId="7B37C686">
            <w:pPr>
              <w:widowControl/>
              <w:autoSpaceDE w:val="0"/>
              <w:autoSpaceDN w:val="0"/>
              <w:adjustRightInd/>
              <w:spacing w:line="240" w:lineRule="auto"/>
              <w:jc w:val="center"/>
              <w:rPr>
                <w:rFonts w:ascii="宋体" w:hAnsi="Times New Roman" w:eastAsia="Times New Roman"/>
                <w:kern w:val="0"/>
                <w:sz w:val="18"/>
                <w:szCs w:val="18"/>
              </w:rPr>
            </w:pPr>
          </w:p>
        </w:tc>
      </w:tr>
    </w:tbl>
    <w:p w14:paraId="06F7F4D9">
      <w:pPr>
        <w:pStyle w:val="211"/>
      </w:pPr>
      <w:r>
        <w:rPr>
          <w:rFonts w:hint="eastAsia"/>
        </w:rPr>
        <w:t>次级数据采集信息见表C.2。</w:t>
      </w:r>
    </w:p>
    <w:p w14:paraId="7178D63C">
      <w:pPr>
        <w:pStyle w:val="77"/>
        <w:spacing w:before="120" w:after="120"/>
      </w:pPr>
      <w:r>
        <w:rPr>
          <w:rFonts w:hint="eastAsia"/>
        </w:rPr>
        <w:t>次级数据采集表</w:t>
      </w:r>
    </w:p>
    <w:tbl>
      <w:tblPr>
        <w:tblStyle w:val="23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52"/>
        <w:gridCol w:w="1509"/>
        <w:gridCol w:w="1393"/>
        <w:gridCol w:w="1414"/>
        <w:gridCol w:w="1415"/>
        <w:gridCol w:w="1414"/>
        <w:gridCol w:w="1477"/>
      </w:tblGrid>
      <w:tr w14:paraId="4BC72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206" w:type="pct"/>
            <w:gridSpan w:val="2"/>
            <w:tcBorders>
              <w:top w:val="single" w:color="000000" w:sz="8" w:space="0"/>
              <w:left w:val="single" w:color="000000" w:sz="8" w:space="0"/>
              <w:bottom w:val="single" w:color="auto" w:sz="4" w:space="0"/>
              <w:right w:val="single" w:color="000000" w:sz="4" w:space="0"/>
            </w:tcBorders>
            <w:vAlign w:val="center"/>
          </w:tcPr>
          <w:p w14:paraId="43BFBED9">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次级数据</w:t>
            </w:r>
          </w:p>
        </w:tc>
        <w:tc>
          <w:tcPr>
            <w:tcW w:w="743" w:type="pct"/>
            <w:tcBorders>
              <w:top w:val="single" w:color="000000" w:sz="8" w:space="0"/>
              <w:left w:val="single" w:color="000000" w:sz="4" w:space="0"/>
              <w:bottom w:val="single" w:color="000000" w:sz="4" w:space="0"/>
              <w:right w:val="single" w:color="000000" w:sz="4" w:space="0"/>
            </w:tcBorders>
            <w:vAlign w:val="center"/>
          </w:tcPr>
          <w:p w14:paraId="2E0958D5">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数据来源</w:t>
            </w:r>
          </w:p>
        </w:tc>
        <w:tc>
          <w:tcPr>
            <w:tcW w:w="754" w:type="pct"/>
            <w:tcBorders>
              <w:top w:val="single" w:color="000000" w:sz="8" w:space="0"/>
              <w:left w:val="single" w:color="000000" w:sz="4" w:space="0"/>
              <w:bottom w:val="single" w:color="000000" w:sz="4" w:space="0"/>
              <w:right w:val="single" w:color="000000" w:sz="4" w:space="0"/>
            </w:tcBorders>
            <w:vAlign w:val="center"/>
          </w:tcPr>
          <w:p w14:paraId="37A1C097">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数据获取方式</w:t>
            </w:r>
          </w:p>
        </w:tc>
        <w:tc>
          <w:tcPr>
            <w:tcW w:w="755" w:type="pct"/>
            <w:tcBorders>
              <w:top w:val="single" w:color="000000" w:sz="8" w:space="0"/>
              <w:left w:val="single" w:color="000000" w:sz="4" w:space="0"/>
              <w:bottom w:val="single" w:color="000000" w:sz="4" w:space="0"/>
              <w:right w:val="single" w:color="000000" w:sz="4" w:space="0"/>
            </w:tcBorders>
            <w:vAlign w:val="center"/>
          </w:tcPr>
          <w:p w14:paraId="53663932">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时间代表性</w:t>
            </w:r>
          </w:p>
        </w:tc>
        <w:tc>
          <w:tcPr>
            <w:tcW w:w="754" w:type="pct"/>
            <w:tcBorders>
              <w:top w:val="single" w:color="000000" w:sz="8" w:space="0"/>
              <w:left w:val="single" w:color="000000" w:sz="4" w:space="0"/>
              <w:bottom w:val="single" w:color="000000" w:sz="4" w:space="0"/>
              <w:right w:val="single" w:color="000000" w:sz="4" w:space="0"/>
            </w:tcBorders>
            <w:vAlign w:val="center"/>
          </w:tcPr>
          <w:p w14:paraId="13AD12ED">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区域相关性</w:t>
            </w:r>
          </w:p>
        </w:tc>
        <w:tc>
          <w:tcPr>
            <w:tcW w:w="788" w:type="pct"/>
            <w:tcBorders>
              <w:top w:val="single" w:color="000000" w:sz="8" w:space="0"/>
              <w:left w:val="single" w:color="000000" w:sz="4" w:space="0"/>
              <w:bottom w:val="single" w:color="000000" w:sz="4" w:space="0"/>
              <w:right w:val="single" w:color="000000" w:sz="8" w:space="0"/>
            </w:tcBorders>
            <w:vAlign w:val="center"/>
          </w:tcPr>
          <w:p w14:paraId="71BBC6D1">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技术代表性</w:t>
            </w:r>
          </w:p>
        </w:tc>
      </w:tr>
      <w:tr w14:paraId="3A660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01" w:type="pct"/>
            <w:vMerge w:val="restart"/>
            <w:tcBorders>
              <w:top w:val="single" w:color="auto" w:sz="4" w:space="0"/>
              <w:left w:val="single" w:color="000000" w:sz="8" w:space="0"/>
              <w:bottom w:val="nil"/>
              <w:right w:val="single" w:color="000000" w:sz="4" w:space="0"/>
            </w:tcBorders>
            <w:vAlign w:val="center"/>
          </w:tcPr>
          <w:p w14:paraId="331704A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资源</w:t>
            </w:r>
          </w:p>
        </w:tc>
        <w:tc>
          <w:tcPr>
            <w:tcW w:w="805" w:type="pct"/>
            <w:tcBorders>
              <w:top w:val="single" w:color="auto" w:sz="4" w:space="0"/>
              <w:left w:val="single" w:color="000000" w:sz="4" w:space="0"/>
              <w:bottom w:val="single" w:color="000000" w:sz="4" w:space="0"/>
              <w:right w:val="single" w:color="000000" w:sz="4" w:space="0"/>
            </w:tcBorders>
            <w:vAlign w:val="center"/>
          </w:tcPr>
          <w:p w14:paraId="1519C9AB">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锰矿石</w:t>
            </w:r>
          </w:p>
        </w:tc>
        <w:tc>
          <w:tcPr>
            <w:tcW w:w="743" w:type="pct"/>
            <w:tcBorders>
              <w:top w:val="single" w:color="000000" w:sz="4" w:space="0"/>
              <w:left w:val="single" w:color="000000" w:sz="4" w:space="0"/>
              <w:bottom w:val="single" w:color="000000" w:sz="4" w:space="0"/>
              <w:right w:val="single" w:color="000000" w:sz="4" w:space="0"/>
            </w:tcBorders>
            <w:vAlign w:val="center"/>
          </w:tcPr>
          <w:p w14:paraId="195A608B">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3B36698C">
            <w:pPr>
              <w:widowControl/>
              <w:autoSpaceDE w:val="0"/>
              <w:autoSpaceDN w:val="0"/>
              <w:adjustRightInd/>
              <w:spacing w:line="240" w:lineRule="auto"/>
              <w:jc w:val="center"/>
              <w:rPr>
                <w:rFonts w:ascii="宋体" w:hAnsi="Times New Roman" w:eastAsia="Times New Roman"/>
                <w:kern w:val="0"/>
                <w:sz w:val="18"/>
                <w:szCs w:val="18"/>
              </w:rPr>
            </w:pPr>
          </w:p>
        </w:tc>
        <w:tc>
          <w:tcPr>
            <w:tcW w:w="755" w:type="pct"/>
            <w:tcBorders>
              <w:top w:val="single" w:color="000000" w:sz="4" w:space="0"/>
              <w:left w:val="single" w:color="000000" w:sz="4" w:space="0"/>
              <w:bottom w:val="single" w:color="000000" w:sz="4" w:space="0"/>
              <w:right w:val="single" w:color="000000" w:sz="4" w:space="0"/>
            </w:tcBorders>
            <w:vAlign w:val="center"/>
          </w:tcPr>
          <w:p w14:paraId="317BEA6A">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79DCB414">
            <w:pPr>
              <w:widowControl/>
              <w:autoSpaceDE w:val="0"/>
              <w:autoSpaceDN w:val="0"/>
              <w:adjustRightInd/>
              <w:spacing w:line="240" w:lineRule="auto"/>
              <w:jc w:val="center"/>
              <w:rPr>
                <w:rFonts w:ascii="宋体" w:hAnsi="Times New Roman" w:eastAsia="Times New Roman"/>
                <w:kern w:val="0"/>
                <w:sz w:val="18"/>
                <w:szCs w:val="18"/>
              </w:rPr>
            </w:pPr>
          </w:p>
        </w:tc>
        <w:tc>
          <w:tcPr>
            <w:tcW w:w="788" w:type="pct"/>
            <w:tcBorders>
              <w:top w:val="single" w:color="000000" w:sz="4" w:space="0"/>
              <w:left w:val="single" w:color="000000" w:sz="4" w:space="0"/>
              <w:bottom w:val="single" w:color="000000" w:sz="4" w:space="0"/>
              <w:right w:val="single" w:color="000000" w:sz="8" w:space="0"/>
            </w:tcBorders>
            <w:vAlign w:val="center"/>
          </w:tcPr>
          <w:p w14:paraId="22F55FB9">
            <w:pPr>
              <w:widowControl/>
              <w:autoSpaceDE w:val="0"/>
              <w:autoSpaceDN w:val="0"/>
              <w:adjustRightInd/>
              <w:spacing w:line="240" w:lineRule="auto"/>
              <w:jc w:val="center"/>
              <w:rPr>
                <w:rFonts w:ascii="宋体" w:hAnsi="Times New Roman" w:eastAsia="Times New Roman"/>
                <w:kern w:val="0"/>
                <w:sz w:val="18"/>
                <w:szCs w:val="18"/>
              </w:rPr>
            </w:pPr>
          </w:p>
        </w:tc>
      </w:tr>
      <w:tr w14:paraId="6AFC5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01" w:type="pct"/>
            <w:vMerge w:val="continue"/>
            <w:tcBorders>
              <w:top w:val="nil"/>
              <w:left w:val="single" w:color="000000" w:sz="8" w:space="0"/>
              <w:bottom w:val="nil"/>
              <w:right w:val="single" w:color="000000" w:sz="4" w:space="0"/>
            </w:tcBorders>
            <w:vAlign w:val="center"/>
          </w:tcPr>
          <w:p w14:paraId="77B96F6D">
            <w:pPr>
              <w:widowControl/>
              <w:adjustRightInd/>
              <w:spacing w:line="240" w:lineRule="auto"/>
              <w:jc w:val="left"/>
              <w:rPr>
                <w:rFonts w:ascii="宋体" w:hAnsi="Times New Roman" w:eastAsia="Times New Roman"/>
                <w:kern w:val="0"/>
                <w:sz w:val="18"/>
                <w:szCs w:val="18"/>
              </w:rPr>
            </w:pPr>
          </w:p>
        </w:tc>
        <w:tc>
          <w:tcPr>
            <w:tcW w:w="805" w:type="pct"/>
            <w:tcBorders>
              <w:top w:val="single" w:color="000000" w:sz="4" w:space="0"/>
              <w:left w:val="single" w:color="000000" w:sz="4" w:space="0"/>
              <w:bottom w:val="single" w:color="000000" w:sz="4" w:space="0"/>
              <w:right w:val="single" w:color="000000" w:sz="4" w:space="0"/>
            </w:tcBorders>
            <w:vAlign w:val="center"/>
          </w:tcPr>
          <w:p w14:paraId="1FF4ACB3">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硫铁矿</w:t>
            </w:r>
          </w:p>
        </w:tc>
        <w:tc>
          <w:tcPr>
            <w:tcW w:w="743" w:type="pct"/>
            <w:tcBorders>
              <w:top w:val="single" w:color="000000" w:sz="4" w:space="0"/>
              <w:left w:val="single" w:color="000000" w:sz="4" w:space="0"/>
              <w:bottom w:val="single" w:color="000000" w:sz="4" w:space="0"/>
              <w:right w:val="single" w:color="000000" w:sz="4" w:space="0"/>
            </w:tcBorders>
            <w:vAlign w:val="center"/>
          </w:tcPr>
          <w:p w14:paraId="08920B80">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65CFD104">
            <w:pPr>
              <w:widowControl/>
              <w:autoSpaceDE w:val="0"/>
              <w:autoSpaceDN w:val="0"/>
              <w:adjustRightInd/>
              <w:spacing w:line="240" w:lineRule="auto"/>
              <w:jc w:val="center"/>
              <w:rPr>
                <w:rFonts w:ascii="宋体" w:hAnsi="Times New Roman" w:eastAsia="Times New Roman"/>
                <w:kern w:val="0"/>
                <w:sz w:val="18"/>
                <w:szCs w:val="18"/>
              </w:rPr>
            </w:pPr>
          </w:p>
        </w:tc>
        <w:tc>
          <w:tcPr>
            <w:tcW w:w="755" w:type="pct"/>
            <w:tcBorders>
              <w:top w:val="single" w:color="000000" w:sz="4" w:space="0"/>
              <w:left w:val="single" w:color="000000" w:sz="4" w:space="0"/>
              <w:bottom w:val="single" w:color="000000" w:sz="4" w:space="0"/>
              <w:right w:val="single" w:color="000000" w:sz="4" w:space="0"/>
            </w:tcBorders>
            <w:vAlign w:val="center"/>
          </w:tcPr>
          <w:p w14:paraId="70926409">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3B14A874">
            <w:pPr>
              <w:widowControl/>
              <w:autoSpaceDE w:val="0"/>
              <w:autoSpaceDN w:val="0"/>
              <w:adjustRightInd/>
              <w:spacing w:line="240" w:lineRule="auto"/>
              <w:jc w:val="center"/>
              <w:rPr>
                <w:rFonts w:ascii="宋体" w:hAnsi="Times New Roman" w:eastAsia="Times New Roman"/>
                <w:kern w:val="0"/>
                <w:sz w:val="18"/>
                <w:szCs w:val="18"/>
              </w:rPr>
            </w:pPr>
          </w:p>
        </w:tc>
        <w:tc>
          <w:tcPr>
            <w:tcW w:w="788" w:type="pct"/>
            <w:tcBorders>
              <w:top w:val="single" w:color="000000" w:sz="4" w:space="0"/>
              <w:left w:val="single" w:color="000000" w:sz="4" w:space="0"/>
              <w:bottom w:val="single" w:color="000000" w:sz="4" w:space="0"/>
              <w:right w:val="single" w:color="000000" w:sz="8" w:space="0"/>
            </w:tcBorders>
            <w:vAlign w:val="center"/>
          </w:tcPr>
          <w:p w14:paraId="228F354C">
            <w:pPr>
              <w:widowControl/>
              <w:autoSpaceDE w:val="0"/>
              <w:autoSpaceDN w:val="0"/>
              <w:adjustRightInd/>
              <w:spacing w:line="240" w:lineRule="auto"/>
              <w:jc w:val="center"/>
              <w:rPr>
                <w:rFonts w:ascii="宋体" w:hAnsi="Times New Roman" w:eastAsia="Times New Roman"/>
                <w:kern w:val="0"/>
                <w:sz w:val="18"/>
                <w:szCs w:val="18"/>
              </w:rPr>
            </w:pPr>
          </w:p>
        </w:tc>
      </w:tr>
      <w:tr w14:paraId="3A65B0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01" w:type="pct"/>
            <w:vMerge w:val="continue"/>
            <w:tcBorders>
              <w:top w:val="nil"/>
              <w:left w:val="single" w:color="000000" w:sz="8" w:space="0"/>
              <w:bottom w:val="nil"/>
              <w:right w:val="single" w:color="000000" w:sz="4" w:space="0"/>
            </w:tcBorders>
            <w:vAlign w:val="center"/>
          </w:tcPr>
          <w:p w14:paraId="6EDD2960">
            <w:pPr>
              <w:widowControl/>
              <w:adjustRightInd/>
              <w:spacing w:line="240" w:lineRule="auto"/>
              <w:jc w:val="left"/>
              <w:rPr>
                <w:rFonts w:ascii="宋体" w:hAnsi="Times New Roman" w:eastAsia="Times New Roman"/>
                <w:kern w:val="0"/>
                <w:sz w:val="18"/>
                <w:szCs w:val="18"/>
              </w:rPr>
            </w:pPr>
          </w:p>
        </w:tc>
        <w:tc>
          <w:tcPr>
            <w:tcW w:w="805" w:type="pct"/>
            <w:tcBorders>
              <w:top w:val="single" w:color="000000" w:sz="4" w:space="0"/>
              <w:left w:val="single" w:color="000000" w:sz="4" w:space="0"/>
              <w:bottom w:val="single" w:color="000000" w:sz="4" w:space="0"/>
              <w:right w:val="single" w:color="000000" w:sz="4" w:space="0"/>
            </w:tcBorders>
            <w:vAlign w:val="center"/>
          </w:tcPr>
          <w:p w14:paraId="35893FD6">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硫酸</w:t>
            </w:r>
          </w:p>
        </w:tc>
        <w:tc>
          <w:tcPr>
            <w:tcW w:w="743" w:type="pct"/>
            <w:tcBorders>
              <w:top w:val="single" w:color="000000" w:sz="4" w:space="0"/>
              <w:left w:val="single" w:color="000000" w:sz="4" w:space="0"/>
              <w:bottom w:val="single" w:color="000000" w:sz="4" w:space="0"/>
              <w:right w:val="single" w:color="000000" w:sz="4" w:space="0"/>
            </w:tcBorders>
            <w:vAlign w:val="center"/>
          </w:tcPr>
          <w:p w14:paraId="6D62C73C">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0182487B">
            <w:pPr>
              <w:widowControl/>
              <w:autoSpaceDE w:val="0"/>
              <w:autoSpaceDN w:val="0"/>
              <w:adjustRightInd/>
              <w:spacing w:line="240" w:lineRule="auto"/>
              <w:jc w:val="center"/>
              <w:rPr>
                <w:rFonts w:ascii="宋体" w:hAnsi="Times New Roman" w:eastAsia="Times New Roman"/>
                <w:kern w:val="0"/>
                <w:sz w:val="18"/>
                <w:szCs w:val="18"/>
              </w:rPr>
            </w:pPr>
          </w:p>
        </w:tc>
        <w:tc>
          <w:tcPr>
            <w:tcW w:w="755" w:type="pct"/>
            <w:tcBorders>
              <w:top w:val="single" w:color="000000" w:sz="4" w:space="0"/>
              <w:left w:val="single" w:color="000000" w:sz="4" w:space="0"/>
              <w:bottom w:val="single" w:color="000000" w:sz="4" w:space="0"/>
              <w:right w:val="single" w:color="000000" w:sz="4" w:space="0"/>
            </w:tcBorders>
            <w:vAlign w:val="center"/>
          </w:tcPr>
          <w:p w14:paraId="7E233793">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2817F8A4">
            <w:pPr>
              <w:widowControl/>
              <w:autoSpaceDE w:val="0"/>
              <w:autoSpaceDN w:val="0"/>
              <w:adjustRightInd/>
              <w:spacing w:line="240" w:lineRule="auto"/>
              <w:jc w:val="center"/>
              <w:rPr>
                <w:rFonts w:ascii="宋体" w:hAnsi="Times New Roman" w:eastAsia="Times New Roman"/>
                <w:kern w:val="0"/>
                <w:sz w:val="18"/>
                <w:szCs w:val="18"/>
              </w:rPr>
            </w:pPr>
          </w:p>
        </w:tc>
        <w:tc>
          <w:tcPr>
            <w:tcW w:w="788" w:type="pct"/>
            <w:tcBorders>
              <w:top w:val="single" w:color="000000" w:sz="4" w:space="0"/>
              <w:left w:val="single" w:color="000000" w:sz="4" w:space="0"/>
              <w:bottom w:val="single" w:color="000000" w:sz="4" w:space="0"/>
              <w:right w:val="single" w:color="000000" w:sz="8" w:space="0"/>
            </w:tcBorders>
            <w:vAlign w:val="center"/>
          </w:tcPr>
          <w:p w14:paraId="3AAA82B8">
            <w:pPr>
              <w:widowControl/>
              <w:autoSpaceDE w:val="0"/>
              <w:autoSpaceDN w:val="0"/>
              <w:adjustRightInd/>
              <w:spacing w:line="240" w:lineRule="auto"/>
              <w:jc w:val="center"/>
              <w:rPr>
                <w:rFonts w:ascii="宋体" w:hAnsi="Times New Roman" w:eastAsia="Times New Roman"/>
                <w:kern w:val="0"/>
                <w:sz w:val="18"/>
                <w:szCs w:val="18"/>
              </w:rPr>
            </w:pPr>
          </w:p>
        </w:tc>
      </w:tr>
      <w:tr w14:paraId="268940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01" w:type="pct"/>
            <w:vMerge w:val="continue"/>
            <w:tcBorders>
              <w:top w:val="nil"/>
              <w:left w:val="single" w:color="000000" w:sz="8" w:space="0"/>
              <w:bottom w:val="single" w:color="auto" w:sz="4" w:space="0"/>
              <w:right w:val="single" w:color="000000" w:sz="4" w:space="0"/>
            </w:tcBorders>
            <w:vAlign w:val="center"/>
          </w:tcPr>
          <w:p w14:paraId="6A2568D2">
            <w:pPr>
              <w:widowControl/>
              <w:adjustRightInd/>
              <w:spacing w:line="240" w:lineRule="auto"/>
              <w:jc w:val="left"/>
              <w:rPr>
                <w:rFonts w:ascii="宋体" w:hAnsi="Times New Roman" w:eastAsia="Times New Roman"/>
                <w:kern w:val="0"/>
                <w:sz w:val="18"/>
                <w:szCs w:val="18"/>
              </w:rPr>
            </w:pPr>
          </w:p>
        </w:tc>
        <w:tc>
          <w:tcPr>
            <w:tcW w:w="805" w:type="pct"/>
            <w:tcBorders>
              <w:top w:val="single" w:color="000000" w:sz="4" w:space="0"/>
              <w:left w:val="single" w:color="000000" w:sz="4" w:space="0"/>
              <w:bottom w:val="single" w:color="000000" w:sz="4" w:space="0"/>
              <w:right w:val="single" w:color="000000" w:sz="4" w:space="0"/>
            </w:tcBorders>
            <w:vAlign w:val="center"/>
          </w:tcPr>
          <w:p w14:paraId="38332764">
            <w:pPr>
              <w:widowControl/>
              <w:autoSpaceDE w:val="0"/>
              <w:autoSpaceDN w:val="0"/>
              <w:adjustRightInd/>
              <w:spacing w:line="240" w:lineRule="auto"/>
              <w:jc w:val="center"/>
              <w:rPr>
                <w:rFonts w:ascii="宋体" w:hAnsi="Times New Roman" w:eastAsia="Times New Roman"/>
                <w:kern w:val="0"/>
                <w:sz w:val="18"/>
                <w:szCs w:val="18"/>
              </w:rPr>
            </w:pPr>
            <w:r>
              <w:rPr>
                <w:rFonts w:hint="eastAsia" w:ascii="Times New Roman" w:hAnsi="Times New Roman" w:eastAsia="Times New Roman"/>
                <w:kern w:val="0"/>
                <w:sz w:val="18"/>
                <w:szCs w:val="18"/>
              </w:rPr>
              <w:t>……</w:t>
            </w:r>
          </w:p>
        </w:tc>
        <w:tc>
          <w:tcPr>
            <w:tcW w:w="743" w:type="pct"/>
            <w:tcBorders>
              <w:top w:val="single" w:color="000000" w:sz="4" w:space="0"/>
              <w:left w:val="single" w:color="000000" w:sz="4" w:space="0"/>
              <w:bottom w:val="single" w:color="000000" w:sz="4" w:space="0"/>
              <w:right w:val="single" w:color="000000" w:sz="4" w:space="0"/>
            </w:tcBorders>
            <w:vAlign w:val="center"/>
          </w:tcPr>
          <w:p w14:paraId="1D7AFEC6">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128CA46F">
            <w:pPr>
              <w:widowControl/>
              <w:autoSpaceDE w:val="0"/>
              <w:autoSpaceDN w:val="0"/>
              <w:adjustRightInd/>
              <w:spacing w:line="240" w:lineRule="auto"/>
              <w:jc w:val="center"/>
              <w:rPr>
                <w:rFonts w:ascii="宋体" w:hAnsi="Times New Roman" w:eastAsia="Times New Roman"/>
                <w:kern w:val="0"/>
                <w:sz w:val="18"/>
                <w:szCs w:val="18"/>
              </w:rPr>
            </w:pPr>
          </w:p>
        </w:tc>
        <w:tc>
          <w:tcPr>
            <w:tcW w:w="755" w:type="pct"/>
            <w:tcBorders>
              <w:top w:val="single" w:color="000000" w:sz="4" w:space="0"/>
              <w:left w:val="single" w:color="000000" w:sz="4" w:space="0"/>
              <w:bottom w:val="single" w:color="000000" w:sz="4" w:space="0"/>
              <w:right w:val="single" w:color="000000" w:sz="4" w:space="0"/>
            </w:tcBorders>
            <w:vAlign w:val="center"/>
          </w:tcPr>
          <w:p w14:paraId="388CFA23">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1364D2F4">
            <w:pPr>
              <w:widowControl/>
              <w:autoSpaceDE w:val="0"/>
              <w:autoSpaceDN w:val="0"/>
              <w:adjustRightInd/>
              <w:spacing w:line="240" w:lineRule="auto"/>
              <w:jc w:val="center"/>
              <w:rPr>
                <w:rFonts w:ascii="宋体" w:hAnsi="Times New Roman" w:eastAsia="Times New Roman"/>
                <w:kern w:val="0"/>
                <w:sz w:val="18"/>
                <w:szCs w:val="18"/>
              </w:rPr>
            </w:pPr>
          </w:p>
        </w:tc>
        <w:tc>
          <w:tcPr>
            <w:tcW w:w="788" w:type="pct"/>
            <w:tcBorders>
              <w:top w:val="single" w:color="000000" w:sz="4" w:space="0"/>
              <w:left w:val="single" w:color="000000" w:sz="4" w:space="0"/>
              <w:bottom w:val="single" w:color="000000" w:sz="4" w:space="0"/>
              <w:right w:val="single" w:color="000000" w:sz="8" w:space="0"/>
            </w:tcBorders>
            <w:vAlign w:val="center"/>
          </w:tcPr>
          <w:p w14:paraId="1DFDA3FF">
            <w:pPr>
              <w:widowControl/>
              <w:autoSpaceDE w:val="0"/>
              <w:autoSpaceDN w:val="0"/>
              <w:adjustRightInd/>
              <w:spacing w:line="240" w:lineRule="auto"/>
              <w:jc w:val="center"/>
              <w:rPr>
                <w:rFonts w:ascii="宋体" w:hAnsi="Times New Roman" w:eastAsia="Times New Roman"/>
                <w:kern w:val="0"/>
                <w:sz w:val="18"/>
                <w:szCs w:val="18"/>
              </w:rPr>
            </w:pPr>
          </w:p>
        </w:tc>
      </w:tr>
      <w:tr w14:paraId="25CDC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01" w:type="pct"/>
            <w:vMerge w:val="restart"/>
            <w:tcBorders>
              <w:top w:val="nil"/>
              <w:left w:val="single" w:color="000000" w:sz="8" w:space="0"/>
              <w:right w:val="single" w:color="000000" w:sz="4" w:space="0"/>
            </w:tcBorders>
            <w:vAlign w:val="center"/>
          </w:tcPr>
          <w:p w14:paraId="7A881080">
            <w:pPr>
              <w:spacing w:line="240" w:lineRule="auto"/>
              <w:jc w:val="center"/>
              <w:rPr>
                <w:rFonts w:ascii="宋体" w:hAnsi="宋体" w:eastAsia="Times New Roman" w:cs="宋体"/>
                <w:kern w:val="0"/>
                <w:sz w:val="18"/>
                <w:szCs w:val="18"/>
              </w:rPr>
            </w:pPr>
            <w:r>
              <w:rPr>
                <w:rFonts w:hint="eastAsia" w:ascii="宋体" w:hAnsi="宋体" w:eastAsia="Times New Roman" w:cs="宋体"/>
                <w:kern w:val="0"/>
                <w:sz w:val="18"/>
                <w:szCs w:val="18"/>
              </w:rPr>
              <w:t>能源</w:t>
            </w:r>
          </w:p>
        </w:tc>
        <w:tc>
          <w:tcPr>
            <w:tcW w:w="805" w:type="pct"/>
            <w:tcBorders>
              <w:top w:val="single" w:color="000000" w:sz="4" w:space="0"/>
              <w:left w:val="single" w:color="000000" w:sz="4" w:space="0"/>
              <w:bottom w:val="single" w:color="000000" w:sz="4" w:space="0"/>
              <w:right w:val="single" w:color="000000" w:sz="4" w:space="0"/>
            </w:tcBorders>
            <w:vAlign w:val="center"/>
          </w:tcPr>
          <w:p w14:paraId="50EDED65">
            <w:pPr>
              <w:widowControl/>
              <w:autoSpaceDE w:val="0"/>
              <w:autoSpaceDN w:val="0"/>
              <w:adjustRightInd/>
              <w:spacing w:line="240" w:lineRule="auto"/>
              <w:jc w:val="center"/>
              <w:rPr>
                <w:rFonts w:ascii="宋体" w:hAnsi="宋体" w:eastAsia="Times New Roman"/>
                <w:kern w:val="0"/>
                <w:sz w:val="18"/>
                <w:szCs w:val="18"/>
              </w:rPr>
            </w:pPr>
            <w:r>
              <w:rPr>
                <w:rFonts w:ascii="宋体" w:hAnsi="宋体" w:eastAsia="Times New Roman"/>
                <w:kern w:val="0"/>
                <w:sz w:val="18"/>
                <w:szCs w:val="18"/>
              </w:rPr>
              <w:t>煤</w:t>
            </w:r>
          </w:p>
        </w:tc>
        <w:tc>
          <w:tcPr>
            <w:tcW w:w="743" w:type="pct"/>
            <w:tcBorders>
              <w:top w:val="single" w:color="000000" w:sz="4" w:space="0"/>
              <w:left w:val="single" w:color="000000" w:sz="4" w:space="0"/>
              <w:bottom w:val="single" w:color="000000" w:sz="4" w:space="0"/>
              <w:right w:val="single" w:color="000000" w:sz="4" w:space="0"/>
            </w:tcBorders>
            <w:vAlign w:val="center"/>
          </w:tcPr>
          <w:p w14:paraId="52B90EF0">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207EDF76">
            <w:pPr>
              <w:widowControl/>
              <w:autoSpaceDE w:val="0"/>
              <w:autoSpaceDN w:val="0"/>
              <w:adjustRightInd/>
              <w:spacing w:line="240" w:lineRule="auto"/>
              <w:jc w:val="center"/>
              <w:rPr>
                <w:rFonts w:ascii="宋体" w:hAnsi="Times New Roman" w:eastAsia="Times New Roman"/>
                <w:kern w:val="0"/>
                <w:sz w:val="18"/>
                <w:szCs w:val="18"/>
              </w:rPr>
            </w:pPr>
          </w:p>
        </w:tc>
        <w:tc>
          <w:tcPr>
            <w:tcW w:w="755" w:type="pct"/>
            <w:tcBorders>
              <w:top w:val="single" w:color="000000" w:sz="4" w:space="0"/>
              <w:left w:val="single" w:color="000000" w:sz="4" w:space="0"/>
              <w:bottom w:val="single" w:color="000000" w:sz="4" w:space="0"/>
              <w:right w:val="single" w:color="000000" w:sz="4" w:space="0"/>
            </w:tcBorders>
            <w:vAlign w:val="center"/>
          </w:tcPr>
          <w:p w14:paraId="3E4F7647">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0979556B">
            <w:pPr>
              <w:widowControl/>
              <w:autoSpaceDE w:val="0"/>
              <w:autoSpaceDN w:val="0"/>
              <w:adjustRightInd/>
              <w:spacing w:line="240" w:lineRule="auto"/>
              <w:jc w:val="center"/>
              <w:rPr>
                <w:rFonts w:ascii="宋体" w:hAnsi="Times New Roman" w:eastAsia="Times New Roman"/>
                <w:kern w:val="0"/>
                <w:sz w:val="18"/>
                <w:szCs w:val="18"/>
              </w:rPr>
            </w:pPr>
          </w:p>
        </w:tc>
        <w:tc>
          <w:tcPr>
            <w:tcW w:w="788" w:type="pct"/>
            <w:tcBorders>
              <w:top w:val="single" w:color="000000" w:sz="4" w:space="0"/>
              <w:left w:val="single" w:color="000000" w:sz="4" w:space="0"/>
              <w:bottom w:val="single" w:color="000000" w:sz="4" w:space="0"/>
              <w:right w:val="single" w:color="000000" w:sz="8" w:space="0"/>
            </w:tcBorders>
            <w:vAlign w:val="center"/>
          </w:tcPr>
          <w:p w14:paraId="0ECE9243">
            <w:pPr>
              <w:widowControl/>
              <w:autoSpaceDE w:val="0"/>
              <w:autoSpaceDN w:val="0"/>
              <w:adjustRightInd/>
              <w:spacing w:line="240" w:lineRule="auto"/>
              <w:jc w:val="center"/>
              <w:rPr>
                <w:rFonts w:ascii="宋体" w:hAnsi="Times New Roman" w:eastAsia="Times New Roman"/>
                <w:kern w:val="0"/>
                <w:sz w:val="18"/>
                <w:szCs w:val="18"/>
              </w:rPr>
            </w:pPr>
          </w:p>
        </w:tc>
      </w:tr>
      <w:tr w14:paraId="551C8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01" w:type="pct"/>
            <w:vMerge w:val="continue"/>
            <w:tcBorders>
              <w:left w:val="single" w:color="000000" w:sz="8" w:space="0"/>
              <w:right w:val="single" w:color="000000" w:sz="4" w:space="0"/>
            </w:tcBorders>
            <w:vAlign w:val="center"/>
          </w:tcPr>
          <w:p w14:paraId="61EA94EF">
            <w:pPr>
              <w:widowControl/>
              <w:adjustRightInd/>
              <w:spacing w:line="240" w:lineRule="auto"/>
              <w:jc w:val="center"/>
              <w:rPr>
                <w:rFonts w:ascii="宋体" w:hAnsi="Times New Roman" w:eastAsia="Times New Roman"/>
                <w:kern w:val="0"/>
                <w:sz w:val="18"/>
                <w:szCs w:val="18"/>
              </w:rPr>
            </w:pPr>
          </w:p>
        </w:tc>
        <w:tc>
          <w:tcPr>
            <w:tcW w:w="805" w:type="pct"/>
            <w:tcBorders>
              <w:top w:val="single" w:color="000000" w:sz="4" w:space="0"/>
              <w:left w:val="single" w:color="000000" w:sz="4" w:space="0"/>
              <w:bottom w:val="single" w:color="000000" w:sz="4" w:space="0"/>
              <w:right w:val="single" w:color="000000" w:sz="4" w:space="0"/>
            </w:tcBorders>
            <w:vAlign w:val="center"/>
          </w:tcPr>
          <w:p w14:paraId="7F607853">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电力</w:t>
            </w:r>
          </w:p>
        </w:tc>
        <w:tc>
          <w:tcPr>
            <w:tcW w:w="743" w:type="pct"/>
            <w:tcBorders>
              <w:top w:val="single" w:color="000000" w:sz="4" w:space="0"/>
              <w:left w:val="single" w:color="000000" w:sz="4" w:space="0"/>
              <w:bottom w:val="single" w:color="000000" w:sz="4" w:space="0"/>
              <w:right w:val="single" w:color="000000" w:sz="4" w:space="0"/>
            </w:tcBorders>
            <w:vAlign w:val="center"/>
          </w:tcPr>
          <w:p w14:paraId="32F510BF">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7E904E51">
            <w:pPr>
              <w:widowControl/>
              <w:autoSpaceDE w:val="0"/>
              <w:autoSpaceDN w:val="0"/>
              <w:adjustRightInd/>
              <w:spacing w:line="240" w:lineRule="auto"/>
              <w:jc w:val="center"/>
              <w:rPr>
                <w:rFonts w:ascii="宋体" w:hAnsi="Times New Roman" w:eastAsia="Times New Roman"/>
                <w:kern w:val="0"/>
                <w:sz w:val="18"/>
                <w:szCs w:val="18"/>
              </w:rPr>
            </w:pPr>
          </w:p>
        </w:tc>
        <w:tc>
          <w:tcPr>
            <w:tcW w:w="755" w:type="pct"/>
            <w:tcBorders>
              <w:top w:val="single" w:color="000000" w:sz="4" w:space="0"/>
              <w:left w:val="single" w:color="000000" w:sz="4" w:space="0"/>
              <w:bottom w:val="single" w:color="000000" w:sz="4" w:space="0"/>
              <w:right w:val="single" w:color="000000" w:sz="4" w:space="0"/>
            </w:tcBorders>
            <w:vAlign w:val="center"/>
          </w:tcPr>
          <w:p w14:paraId="01197EF4">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4A27FE21">
            <w:pPr>
              <w:widowControl/>
              <w:autoSpaceDE w:val="0"/>
              <w:autoSpaceDN w:val="0"/>
              <w:adjustRightInd/>
              <w:spacing w:line="240" w:lineRule="auto"/>
              <w:jc w:val="center"/>
              <w:rPr>
                <w:rFonts w:ascii="宋体" w:hAnsi="Times New Roman" w:eastAsia="Times New Roman"/>
                <w:kern w:val="0"/>
                <w:sz w:val="18"/>
                <w:szCs w:val="18"/>
              </w:rPr>
            </w:pPr>
          </w:p>
        </w:tc>
        <w:tc>
          <w:tcPr>
            <w:tcW w:w="788" w:type="pct"/>
            <w:tcBorders>
              <w:top w:val="single" w:color="000000" w:sz="4" w:space="0"/>
              <w:left w:val="single" w:color="000000" w:sz="4" w:space="0"/>
              <w:bottom w:val="single" w:color="000000" w:sz="4" w:space="0"/>
              <w:right w:val="single" w:color="000000" w:sz="8" w:space="0"/>
            </w:tcBorders>
            <w:vAlign w:val="center"/>
          </w:tcPr>
          <w:p w14:paraId="7B4D0743">
            <w:pPr>
              <w:widowControl/>
              <w:autoSpaceDE w:val="0"/>
              <w:autoSpaceDN w:val="0"/>
              <w:adjustRightInd/>
              <w:spacing w:line="240" w:lineRule="auto"/>
              <w:jc w:val="center"/>
              <w:rPr>
                <w:rFonts w:ascii="宋体" w:hAnsi="Times New Roman" w:eastAsia="Times New Roman"/>
                <w:kern w:val="0"/>
                <w:sz w:val="18"/>
                <w:szCs w:val="18"/>
              </w:rPr>
            </w:pPr>
          </w:p>
        </w:tc>
      </w:tr>
      <w:tr w14:paraId="6206FB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01" w:type="pct"/>
            <w:vMerge w:val="continue"/>
            <w:tcBorders>
              <w:left w:val="single" w:color="000000" w:sz="8" w:space="0"/>
              <w:right w:val="single" w:color="000000" w:sz="4" w:space="0"/>
            </w:tcBorders>
            <w:vAlign w:val="center"/>
          </w:tcPr>
          <w:p w14:paraId="419C8A1B">
            <w:pPr>
              <w:widowControl/>
              <w:adjustRightInd/>
              <w:spacing w:line="240" w:lineRule="auto"/>
              <w:jc w:val="left"/>
              <w:rPr>
                <w:rFonts w:ascii="宋体" w:hAnsi="Times New Roman" w:eastAsia="Times New Roman"/>
                <w:kern w:val="0"/>
                <w:sz w:val="18"/>
                <w:szCs w:val="18"/>
              </w:rPr>
            </w:pPr>
          </w:p>
        </w:tc>
        <w:tc>
          <w:tcPr>
            <w:tcW w:w="805" w:type="pct"/>
            <w:tcBorders>
              <w:top w:val="single" w:color="000000" w:sz="4" w:space="0"/>
              <w:left w:val="single" w:color="000000" w:sz="4" w:space="0"/>
              <w:bottom w:val="single" w:color="000000" w:sz="4" w:space="0"/>
              <w:right w:val="single" w:color="000000" w:sz="4" w:space="0"/>
            </w:tcBorders>
            <w:vAlign w:val="center"/>
          </w:tcPr>
          <w:p w14:paraId="2D6B112A">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柴油</w:t>
            </w:r>
          </w:p>
        </w:tc>
        <w:tc>
          <w:tcPr>
            <w:tcW w:w="743" w:type="pct"/>
            <w:tcBorders>
              <w:top w:val="single" w:color="000000" w:sz="4" w:space="0"/>
              <w:left w:val="single" w:color="000000" w:sz="4" w:space="0"/>
              <w:bottom w:val="single" w:color="000000" w:sz="4" w:space="0"/>
              <w:right w:val="single" w:color="000000" w:sz="4" w:space="0"/>
            </w:tcBorders>
            <w:vAlign w:val="center"/>
          </w:tcPr>
          <w:p w14:paraId="7F7E4C8C">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2B4BA453">
            <w:pPr>
              <w:widowControl/>
              <w:autoSpaceDE w:val="0"/>
              <w:autoSpaceDN w:val="0"/>
              <w:adjustRightInd/>
              <w:spacing w:line="240" w:lineRule="auto"/>
              <w:jc w:val="center"/>
              <w:rPr>
                <w:rFonts w:ascii="宋体" w:hAnsi="Times New Roman" w:eastAsia="Times New Roman"/>
                <w:kern w:val="0"/>
                <w:sz w:val="18"/>
                <w:szCs w:val="18"/>
              </w:rPr>
            </w:pPr>
          </w:p>
        </w:tc>
        <w:tc>
          <w:tcPr>
            <w:tcW w:w="755" w:type="pct"/>
            <w:tcBorders>
              <w:top w:val="single" w:color="000000" w:sz="4" w:space="0"/>
              <w:left w:val="single" w:color="000000" w:sz="4" w:space="0"/>
              <w:bottom w:val="single" w:color="000000" w:sz="4" w:space="0"/>
              <w:right w:val="single" w:color="000000" w:sz="4" w:space="0"/>
            </w:tcBorders>
            <w:vAlign w:val="center"/>
          </w:tcPr>
          <w:p w14:paraId="0FEBDB99">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66542F15">
            <w:pPr>
              <w:widowControl/>
              <w:autoSpaceDE w:val="0"/>
              <w:autoSpaceDN w:val="0"/>
              <w:adjustRightInd/>
              <w:spacing w:line="240" w:lineRule="auto"/>
              <w:jc w:val="center"/>
              <w:rPr>
                <w:rFonts w:ascii="宋体" w:hAnsi="Times New Roman" w:eastAsia="Times New Roman"/>
                <w:kern w:val="0"/>
                <w:sz w:val="18"/>
                <w:szCs w:val="18"/>
              </w:rPr>
            </w:pPr>
          </w:p>
        </w:tc>
        <w:tc>
          <w:tcPr>
            <w:tcW w:w="788" w:type="pct"/>
            <w:tcBorders>
              <w:top w:val="single" w:color="000000" w:sz="4" w:space="0"/>
              <w:left w:val="single" w:color="000000" w:sz="4" w:space="0"/>
              <w:bottom w:val="single" w:color="000000" w:sz="4" w:space="0"/>
              <w:right w:val="single" w:color="000000" w:sz="8" w:space="0"/>
            </w:tcBorders>
            <w:vAlign w:val="center"/>
          </w:tcPr>
          <w:p w14:paraId="469F22CD">
            <w:pPr>
              <w:widowControl/>
              <w:autoSpaceDE w:val="0"/>
              <w:autoSpaceDN w:val="0"/>
              <w:adjustRightInd/>
              <w:spacing w:line="240" w:lineRule="auto"/>
              <w:jc w:val="center"/>
              <w:rPr>
                <w:rFonts w:ascii="宋体" w:hAnsi="Times New Roman" w:eastAsia="Times New Roman"/>
                <w:kern w:val="0"/>
                <w:sz w:val="18"/>
                <w:szCs w:val="18"/>
              </w:rPr>
            </w:pPr>
          </w:p>
        </w:tc>
      </w:tr>
      <w:tr w14:paraId="0315B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01" w:type="pct"/>
            <w:vMerge w:val="continue"/>
            <w:tcBorders>
              <w:left w:val="single" w:color="000000" w:sz="8" w:space="0"/>
              <w:bottom w:val="single" w:color="auto" w:sz="4" w:space="0"/>
              <w:right w:val="single" w:color="000000" w:sz="4" w:space="0"/>
            </w:tcBorders>
            <w:vAlign w:val="center"/>
          </w:tcPr>
          <w:p w14:paraId="40DAD142">
            <w:pPr>
              <w:widowControl/>
              <w:adjustRightInd/>
              <w:spacing w:line="240" w:lineRule="auto"/>
              <w:jc w:val="left"/>
              <w:rPr>
                <w:rFonts w:ascii="宋体" w:hAnsi="Times New Roman" w:eastAsia="Times New Roman"/>
                <w:kern w:val="0"/>
                <w:sz w:val="18"/>
                <w:szCs w:val="18"/>
              </w:rPr>
            </w:pPr>
          </w:p>
        </w:tc>
        <w:tc>
          <w:tcPr>
            <w:tcW w:w="805" w:type="pct"/>
            <w:tcBorders>
              <w:top w:val="single" w:color="000000" w:sz="4" w:space="0"/>
              <w:left w:val="single" w:color="000000" w:sz="4" w:space="0"/>
              <w:bottom w:val="single" w:color="000000" w:sz="4" w:space="0"/>
              <w:right w:val="single" w:color="000000" w:sz="4" w:space="0"/>
            </w:tcBorders>
            <w:vAlign w:val="center"/>
          </w:tcPr>
          <w:p w14:paraId="259AA426">
            <w:pPr>
              <w:widowControl/>
              <w:autoSpaceDE w:val="0"/>
              <w:autoSpaceDN w:val="0"/>
              <w:adjustRightInd/>
              <w:spacing w:line="240" w:lineRule="auto"/>
              <w:jc w:val="center"/>
              <w:rPr>
                <w:rFonts w:ascii="宋体" w:hAnsi="Times New Roman" w:eastAsia="Times New Roman"/>
                <w:kern w:val="0"/>
                <w:sz w:val="18"/>
                <w:szCs w:val="18"/>
              </w:rPr>
            </w:pPr>
            <w:r>
              <w:rPr>
                <w:rFonts w:hint="eastAsia" w:ascii="Times New Roman" w:hAnsi="Times New Roman" w:eastAsia="Times New Roman"/>
                <w:kern w:val="0"/>
                <w:sz w:val="18"/>
                <w:szCs w:val="18"/>
              </w:rPr>
              <w:t>……</w:t>
            </w:r>
          </w:p>
        </w:tc>
        <w:tc>
          <w:tcPr>
            <w:tcW w:w="743" w:type="pct"/>
            <w:tcBorders>
              <w:top w:val="single" w:color="000000" w:sz="4" w:space="0"/>
              <w:left w:val="single" w:color="000000" w:sz="4" w:space="0"/>
              <w:bottom w:val="single" w:color="000000" w:sz="4" w:space="0"/>
              <w:right w:val="single" w:color="000000" w:sz="4" w:space="0"/>
            </w:tcBorders>
            <w:vAlign w:val="center"/>
          </w:tcPr>
          <w:p w14:paraId="3898111C">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3CD527B4">
            <w:pPr>
              <w:widowControl/>
              <w:autoSpaceDE w:val="0"/>
              <w:autoSpaceDN w:val="0"/>
              <w:adjustRightInd/>
              <w:spacing w:line="240" w:lineRule="auto"/>
              <w:jc w:val="center"/>
              <w:rPr>
                <w:rFonts w:ascii="宋体" w:hAnsi="Times New Roman" w:eastAsia="Times New Roman"/>
                <w:kern w:val="0"/>
                <w:sz w:val="18"/>
                <w:szCs w:val="18"/>
              </w:rPr>
            </w:pPr>
          </w:p>
        </w:tc>
        <w:tc>
          <w:tcPr>
            <w:tcW w:w="755" w:type="pct"/>
            <w:tcBorders>
              <w:top w:val="single" w:color="000000" w:sz="4" w:space="0"/>
              <w:left w:val="single" w:color="000000" w:sz="4" w:space="0"/>
              <w:bottom w:val="single" w:color="000000" w:sz="4" w:space="0"/>
              <w:right w:val="single" w:color="000000" w:sz="4" w:space="0"/>
            </w:tcBorders>
            <w:vAlign w:val="center"/>
          </w:tcPr>
          <w:p w14:paraId="5860F7A3">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1B08FA7D">
            <w:pPr>
              <w:widowControl/>
              <w:autoSpaceDE w:val="0"/>
              <w:autoSpaceDN w:val="0"/>
              <w:adjustRightInd/>
              <w:spacing w:line="240" w:lineRule="auto"/>
              <w:jc w:val="center"/>
              <w:rPr>
                <w:rFonts w:ascii="宋体" w:hAnsi="Times New Roman" w:eastAsia="Times New Roman"/>
                <w:kern w:val="0"/>
                <w:sz w:val="18"/>
                <w:szCs w:val="18"/>
              </w:rPr>
            </w:pPr>
          </w:p>
        </w:tc>
        <w:tc>
          <w:tcPr>
            <w:tcW w:w="788" w:type="pct"/>
            <w:tcBorders>
              <w:top w:val="single" w:color="000000" w:sz="4" w:space="0"/>
              <w:left w:val="single" w:color="000000" w:sz="4" w:space="0"/>
              <w:bottom w:val="single" w:color="000000" w:sz="4" w:space="0"/>
              <w:right w:val="single" w:color="000000" w:sz="8" w:space="0"/>
            </w:tcBorders>
            <w:vAlign w:val="center"/>
          </w:tcPr>
          <w:p w14:paraId="427E51D2">
            <w:pPr>
              <w:widowControl/>
              <w:autoSpaceDE w:val="0"/>
              <w:autoSpaceDN w:val="0"/>
              <w:adjustRightInd/>
              <w:spacing w:line="240" w:lineRule="auto"/>
              <w:jc w:val="center"/>
              <w:rPr>
                <w:rFonts w:ascii="宋体" w:hAnsi="Times New Roman" w:eastAsia="Times New Roman"/>
                <w:kern w:val="0"/>
                <w:sz w:val="18"/>
                <w:szCs w:val="18"/>
              </w:rPr>
            </w:pPr>
          </w:p>
        </w:tc>
      </w:tr>
    </w:tbl>
    <w:p w14:paraId="73639164">
      <w:pPr>
        <w:pStyle w:val="56"/>
        <w:pageBreakBefore/>
        <w:spacing w:before="120" w:beforeLines="50" w:after="120" w:afterLines="50"/>
        <w:ind w:firstLine="0" w:firstLineChars="0"/>
        <w:jc w:val="center"/>
        <w:rPr>
          <w:rFonts w:hint="eastAsia" w:ascii="黑体" w:hAnsi="黑体" w:eastAsia="黑体"/>
        </w:rPr>
      </w:pPr>
      <w:r>
        <w:rPr>
          <w:rFonts w:hint="eastAsia" w:ascii="黑体" w:hAnsi="黑体" w:eastAsia="黑体"/>
        </w:rPr>
        <w:t>表C.2  次级数据采集表</w:t>
      </w:r>
      <w:r>
        <w:rPr>
          <w:rFonts w:hint="eastAsia" w:hAnsi="宋体"/>
        </w:rPr>
        <w:t>（续）</w:t>
      </w:r>
    </w:p>
    <w:tbl>
      <w:tblPr>
        <w:tblStyle w:val="23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52"/>
        <w:gridCol w:w="1509"/>
        <w:gridCol w:w="1393"/>
        <w:gridCol w:w="1414"/>
        <w:gridCol w:w="1415"/>
        <w:gridCol w:w="1414"/>
        <w:gridCol w:w="1477"/>
      </w:tblGrid>
      <w:tr w14:paraId="76172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01" w:type="pct"/>
            <w:vMerge w:val="restart"/>
            <w:tcBorders>
              <w:top w:val="single" w:color="auto" w:sz="4" w:space="0"/>
              <w:left w:val="single" w:color="000000" w:sz="8" w:space="0"/>
              <w:bottom w:val="single" w:color="auto" w:sz="8" w:space="0"/>
              <w:right w:val="single" w:color="000000" w:sz="4" w:space="0"/>
            </w:tcBorders>
            <w:vAlign w:val="center"/>
          </w:tcPr>
          <w:p w14:paraId="4DCDA5DC">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运输</w:t>
            </w:r>
          </w:p>
        </w:tc>
        <w:tc>
          <w:tcPr>
            <w:tcW w:w="805" w:type="pct"/>
            <w:tcBorders>
              <w:top w:val="single" w:color="000000" w:sz="4" w:space="0"/>
              <w:left w:val="single" w:color="000000" w:sz="4" w:space="0"/>
              <w:bottom w:val="single" w:color="000000" w:sz="4" w:space="0"/>
              <w:right w:val="single" w:color="000000" w:sz="4" w:space="0"/>
            </w:tcBorders>
            <w:vAlign w:val="center"/>
          </w:tcPr>
          <w:p w14:paraId="6560D57E">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公路运输</w:t>
            </w:r>
          </w:p>
        </w:tc>
        <w:tc>
          <w:tcPr>
            <w:tcW w:w="743" w:type="pct"/>
            <w:tcBorders>
              <w:top w:val="single" w:color="000000" w:sz="4" w:space="0"/>
              <w:left w:val="single" w:color="000000" w:sz="4" w:space="0"/>
              <w:bottom w:val="single" w:color="000000" w:sz="4" w:space="0"/>
              <w:right w:val="single" w:color="000000" w:sz="4" w:space="0"/>
            </w:tcBorders>
            <w:vAlign w:val="center"/>
          </w:tcPr>
          <w:p w14:paraId="4EEB242E">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2DD7D7A6">
            <w:pPr>
              <w:widowControl/>
              <w:autoSpaceDE w:val="0"/>
              <w:autoSpaceDN w:val="0"/>
              <w:adjustRightInd/>
              <w:spacing w:line="240" w:lineRule="auto"/>
              <w:jc w:val="center"/>
              <w:rPr>
                <w:rFonts w:ascii="宋体" w:hAnsi="Times New Roman" w:eastAsia="Times New Roman"/>
                <w:kern w:val="0"/>
                <w:sz w:val="18"/>
                <w:szCs w:val="18"/>
              </w:rPr>
            </w:pPr>
          </w:p>
        </w:tc>
        <w:tc>
          <w:tcPr>
            <w:tcW w:w="755" w:type="pct"/>
            <w:tcBorders>
              <w:top w:val="single" w:color="000000" w:sz="4" w:space="0"/>
              <w:left w:val="single" w:color="000000" w:sz="4" w:space="0"/>
              <w:bottom w:val="single" w:color="000000" w:sz="4" w:space="0"/>
              <w:right w:val="single" w:color="000000" w:sz="4" w:space="0"/>
            </w:tcBorders>
            <w:vAlign w:val="center"/>
          </w:tcPr>
          <w:p w14:paraId="4C78B41A">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4DA21725">
            <w:pPr>
              <w:widowControl/>
              <w:autoSpaceDE w:val="0"/>
              <w:autoSpaceDN w:val="0"/>
              <w:adjustRightInd/>
              <w:spacing w:line="240" w:lineRule="auto"/>
              <w:jc w:val="center"/>
              <w:rPr>
                <w:rFonts w:ascii="宋体" w:hAnsi="Times New Roman" w:eastAsia="Times New Roman"/>
                <w:kern w:val="0"/>
                <w:sz w:val="18"/>
                <w:szCs w:val="18"/>
              </w:rPr>
            </w:pPr>
          </w:p>
        </w:tc>
        <w:tc>
          <w:tcPr>
            <w:tcW w:w="788" w:type="pct"/>
            <w:tcBorders>
              <w:top w:val="single" w:color="000000" w:sz="4" w:space="0"/>
              <w:left w:val="single" w:color="000000" w:sz="4" w:space="0"/>
              <w:bottom w:val="single" w:color="000000" w:sz="4" w:space="0"/>
              <w:right w:val="single" w:color="000000" w:sz="8" w:space="0"/>
            </w:tcBorders>
            <w:vAlign w:val="center"/>
          </w:tcPr>
          <w:p w14:paraId="5E5ECE24">
            <w:pPr>
              <w:widowControl/>
              <w:autoSpaceDE w:val="0"/>
              <w:autoSpaceDN w:val="0"/>
              <w:adjustRightInd/>
              <w:spacing w:line="240" w:lineRule="auto"/>
              <w:jc w:val="center"/>
              <w:rPr>
                <w:rFonts w:ascii="宋体" w:hAnsi="Times New Roman" w:eastAsia="Times New Roman"/>
                <w:kern w:val="0"/>
                <w:sz w:val="18"/>
                <w:szCs w:val="18"/>
              </w:rPr>
            </w:pPr>
          </w:p>
        </w:tc>
      </w:tr>
      <w:tr w14:paraId="6163B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01" w:type="pct"/>
            <w:vMerge w:val="continue"/>
            <w:tcBorders>
              <w:top w:val="nil"/>
              <w:left w:val="single" w:color="000000" w:sz="8" w:space="0"/>
              <w:bottom w:val="single" w:color="auto" w:sz="8" w:space="0"/>
              <w:right w:val="single" w:color="000000" w:sz="4" w:space="0"/>
            </w:tcBorders>
            <w:vAlign w:val="center"/>
          </w:tcPr>
          <w:p w14:paraId="70C9332D">
            <w:pPr>
              <w:widowControl/>
              <w:adjustRightInd/>
              <w:spacing w:line="240" w:lineRule="auto"/>
              <w:jc w:val="left"/>
              <w:rPr>
                <w:rFonts w:ascii="宋体" w:hAnsi="Times New Roman" w:eastAsia="Times New Roman"/>
                <w:kern w:val="0"/>
                <w:sz w:val="18"/>
                <w:szCs w:val="18"/>
              </w:rPr>
            </w:pPr>
          </w:p>
        </w:tc>
        <w:tc>
          <w:tcPr>
            <w:tcW w:w="805" w:type="pct"/>
            <w:tcBorders>
              <w:top w:val="single" w:color="000000" w:sz="4" w:space="0"/>
              <w:left w:val="single" w:color="000000" w:sz="4" w:space="0"/>
              <w:bottom w:val="single" w:color="000000" w:sz="4" w:space="0"/>
              <w:right w:val="single" w:color="000000" w:sz="4" w:space="0"/>
            </w:tcBorders>
            <w:vAlign w:val="center"/>
          </w:tcPr>
          <w:p w14:paraId="71BD32AA">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铁路运输</w:t>
            </w:r>
          </w:p>
        </w:tc>
        <w:tc>
          <w:tcPr>
            <w:tcW w:w="743" w:type="pct"/>
            <w:tcBorders>
              <w:top w:val="single" w:color="000000" w:sz="4" w:space="0"/>
              <w:left w:val="single" w:color="000000" w:sz="4" w:space="0"/>
              <w:bottom w:val="single" w:color="000000" w:sz="4" w:space="0"/>
              <w:right w:val="single" w:color="000000" w:sz="4" w:space="0"/>
            </w:tcBorders>
            <w:vAlign w:val="center"/>
          </w:tcPr>
          <w:p w14:paraId="024DA490">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77AEE514">
            <w:pPr>
              <w:widowControl/>
              <w:autoSpaceDE w:val="0"/>
              <w:autoSpaceDN w:val="0"/>
              <w:adjustRightInd/>
              <w:spacing w:line="240" w:lineRule="auto"/>
              <w:jc w:val="center"/>
              <w:rPr>
                <w:rFonts w:ascii="宋体" w:hAnsi="Times New Roman" w:eastAsia="Times New Roman"/>
                <w:kern w:val="0"/>
                <w:sz w:val="18"/>
                <w:szCs w:val="18"/>
              </w:rPr>
            </w:pPr>
          </w:p>
        </w:tc>
        <w:tc>
          <w:tcPr>
            <w:tcW w:w="755" w:type="pct"/>
            <w:tcBorders>
              <w:top w:val="single" w:color="000000" w:sz="4" w:space="0"/>
              <w:left w:val="single" w:color="000000" w:sz="4" w:space="0"/>
              <w:bottom w:val="single" w:color="000000" w:sz="4" w:space="0"/>
              <w:right w:val="single" w:color="000000" w:sz="4" w:space="0"/>
            </w:tcBorders>
            <w:vAlign w:val="center"/>
          </w:tcPr>
          <w:p w14:paraId="0B971606">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000000" w:sz="4" w:space="0"/>
              <w:right w:val="single" w:color="000000" w:sz="4" w:space="0"/>
            </w:tcBorders>
            <w:vAlign w:val="center"/>
          </w:tcPr>
          <w:p w14:paraId="3E34A1FF">
            <w:pPr>
              <w:widowControl/>
              <w:autoSpaceDE w:val="0"/>
              <w:autoSpaceDN w:val="0"/>
              <w:adjustRightInd/>
              <w:spacing w:line="240" w:lineRule="auto"/>
              <w:jc w:val="center"/>
              <w:rPr>
                <w:rFonts w:ascii="宋体" w:hAnsi="Times New Roman" w:eastAsia="Times New Roman"/>
                <w:kern w:val="0"/>
                <w:sz w:val="18"/>
                <w:szCs w:val="18"/>
              </w:rPr>
            </w:pPr>
          </w:p>
        </w:tc>
        <w:tc>
          <w:tcPr>
            <w:tcW w:w="788" w:type="pct"/>
            <w:tcBorders>
              <w:top w:val="single" w:color="000000" w:sz="4" w:space="0"/>
              <w:left w:val="single" w:color="000000" w:sz="4" w:space="0"/>
              <w:bottom w:val="single" w:color="000000" w:sz="4" w:space="0"/>
              <w:right w:val="single" w:color="000000" w:sz="8" w:space="0"/>
            </w:tcBorders>
            <w:vAlign w:val="center"/>
          </w:tcPr>
          <w:p w14:paraId="043787DC">
            <w:pPr>
              <w:widowControl/>
              <w:autoSpaceDE w:val="0"/>
              <w:autoSpaceDN w:val="0"/>
              <w:adjustRightInd/>
              <w:spacing w:line="240" w:lineRule="auto"/>
              <w:jc w:val="center"/>
              <w:rPr>
                <w:rFonts w:ascii="宋体" w:hAnsi="Times New Roman" w:eastAsia="Times New Roman"/>
                <w:kern w:val="0"/>
                <w:sz w:val="18"/>
                <w:szCs w:val="18"/>
              </w:rPr>
            </w:pPr>
          </w:p>
        </w:tc>
      </w:tr>
      <w:tr w14:paraId="6E24C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01" w:type="pct"/>
            <w:vMerge w:val="continue"/>
            <w:tcBorders>
              <w:top w:val="nil"/>
              <w:left w:val="single" w:color="000000" w:sz="8" w:space="0"/>
              <w:bottom w:val="single" w:color="auto" w:sz="8" w:space="0"/>
              <w:right w:val="single" w:color="000000" w:sz="4" w:space="0"/>
            </w:tcBorders>
            <w:vAlign w:val="center"/>
          </w:tcPr>
          <w:p w14:paraId="4A4AADDD">
            <w:pPr>
              <w:widowControl/>
              <w:adjustRightInd/>
              <w:spacing w:line="240" w:lineRule="auto"/>
              <w:jc w:val="left"/>
              <w:rPr>
                <w:rFonts w:ascii="宋体" w:hAnsi="Times New Roman" w:eastAsia="Times New Roman"/>
                <w:kern w:val="0"/>
                <w:sz w:val="18"/>
                <w:szCs w:val="18"/>
              </w:rPr>
            </w:pPr>
          </w:p>
        </w:tc>
        <w:tc>
          <w:tcPr>
            <w:tcW w:w="805" w:type="pct"/>
            <w:tcBorders>
              <w:top w:val="single" w:color="000000" w:sz="4" w:space="0"/>
              <w:left w:val="single" w:color="000000" w:sz="4" w:space="0"/>
              <w:bottom w:val="single" w:color="auto" w:sz="8" w:space="0"/>
              <w:right w:val="single" w:color="000000" w:sz="4" w:space="0"/>
            </w:tcBorders>
            <w:vAlign w:val="center"/>
          </w:tcPr>
          <w:p w14:paraId="2DFCCFC7">
            <w:pPr>
              <w:widowControl/>
              <w:autoSpaceDE w:val="0"/>
              <w:autoSpaceDN w:val="0"/>
              <w:adjustRightInd/>
              <w:spacing w:line="240" w:lineRule="auto"/>
              <w:jc w:val="center"/>
              <w:rPr>
                <w:rFonts w:ascii="宋体" w:hAnsi="Times New Roman" w:eastAsia="Times New Roman"/>
                <w:kern w:val="0"/>
                <w:sz w:val="18"/>
                <w:szCs w:val="18"/>
              </w:rPr>
            </w:pPr>
            <w:r>
              <w:rPr>
                <w:rFonts w:hint="eastAsia" w:ascii="Times New Roman" w:hAnsi="Times New Roman" w:eastAsia="Times New Roman"/>
                <w:kern w:val="0"/>
                <w:sz w:val="18"/>
                <w:szCs w:val="18"/>
              </w:rPr>
              <w:t>……</w:t>
            </w:r>
          </w:p>
        </w:tc>
        <w:tc>
          <w:tcPr>
            <w:tcW w:w="743" w:type="pct"/>
            <w:tcBorders>
              <w:top w:val="single" w:color="000000" w:sz="4" w:space="0"/>
              <w:left w:val="single" w:color="000000" w:sz="4" w:space="0"/>
              <w:bottom w:val="single" w:color="auto" w:sz="8" w:space="0"/>
              <w:right w:val="single" w:color="000000" w:sz="4" w:space="0"/>
            </w:tcBorders>
            <w:vAlign w:val="center"/>
          </w:tcPr>
          <w:p w14:paraId="56BBCCA0">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auto" w:sz="8" w:space="0"/>
              <w:right w:val="single" w:color="000000" w:sz="4" w:space="0"/>
            </w:tcBorders>
            <w:vAlign w:val="center"/>
          </w:tcPr>
          <w:p w14:paraId="7DA5ECF7">
            <w:pPr>
              <w:widowControl/>
              <w:autoSpaceDE w:val="0"/>
              <w:autoSpaceDN w:val="0"/>
              <w:adjustRightInd/>
              <w:spacing w:line="240" w:lineRule="auto"/>
              <w:jc w:val="center"/>
              <w:rPr>
                <w:rFonts w:ascii="宋体" w:hAnsi="Times New Roman" w:eastAsia="Times New Roman"/>
                <w:kern w:val="0"/>
                <w:sz w:val="18"/>
                <w:szCs w:val="18"/>
              </w:rPr>
            </w:pPr>
          </w:p>
        </w:tc>
        <w:tc>
          <w:tcPr>
            <w:tcW w:w="755" w:type="pct"/>
            <w:tcBorders>
              <w:top w:val="single" w:color="000000" w:sz="4" w:space="0"/>
              <w:left w:val="single" w:color="000000" w:sz="4" w:space="0"/>
              <w:bottom w:val="single" w:color="auto" w:sz="8" w:space="0"/>
              <w:right w:val="single" w:color="000000" w:sz="4" w:space="0"/>
            </w:tcBorders>
            <w:vAlign w:val="center"/>
          </w:tcPr>
          <w:p w14:paraId="6180AD93">
            <w:pPr>
              <w:widowControl/>
              <w:autoSpaceDE w:val="0"/>
              <w:autoSpaceDN w:val="0"/>
              <w:adjustRightInd/>
              <w:spacing w:line="240" w:lineRule="auto"/>
              <w:jc w:val="center"/>
              <w:rPr>
                <w:rFonts w:ascii="宋体" w:hAnsi="Times New Roman" w:eastAsia="Times New Roman"/>
                <w:kern w:val="0"/>
                <w:sz w:val="18"/>
                <w:szCs w:val="18"/>
              </w:rPr>
            </w:pPr>
          </w:p>
        </w:tc>
        <w:tc>
          <w:tcPr>
            <w:tcW w:w="754" w:type="pct"/>
            <w:tcBorders>
              <w:top w:val="single" w:color="000000" w:sz="4" w:space="0"/>
              <w:left w:val="single" w:color="000000" w:sz="4" w:space="0"/>
              <w:bottom w:val="single" w:color="auto" w:sz="8" w:space="0"/>
              <w:right w:val="single" w:color="000000" w:sz="4" w:space="0"/>
            </w:tcBorders>
            <w:vAlign w:val="center"/>
          </w:tcPr>
          <w:p w14:paraId="208FC555">
            <w:pPr>
              <w:widowControl/>
              <w:autoSpaceDE w:val="0"/>
              <w:autoSpaceDN w:val="0"/>
              <w:adjustRightInd/>
              <w:spacing w:line="240" w:lineRule="auto"/>
              <w:jc w:val="center"/>
              <w:rPr>
                <w:rFonts w:ascii="宋体" w:hAnsi="Times New Roman" w:eastAsia="Times New Roman"/>
                <w:kern w:val="0"/>
                <w:sz w:val="18"/>
                <w:szCs w:val="18"/>
              </w:rPr>
            </w:pPr>
          </w:p>
        </w:tc>
        <w:tc>
          <w:tcPr>
            <w:tcW w:w="788" w:type="pct"/>
            <w:tcBorders>
              <w:top w:val="single" w:color="000000" w:sz="4" w:space="0"/>
              <w:left w:val="single" w:color="000000" w:sz="4" w:space="0"/>
              <w:bottom w:val="single" w:color="auto" w:sz="8" w:space="0"/>
              <w:right w:val="single" w:color="000000" w:sz="8" w:space="0"/>
            </w:tcBorders>
            <w:vAlign w:val="center"/>
          </w:tcPr>
          <w:p w14:paraId="46921B0E">
            <w:pPr>
              <w:widowControl/>
              <w:autoSpaceDE w:val="0"/>
              <w:autoSpaceDN w:val="0"/>
              <w:adjustRightInd/>
              <w:spacing w:line="240" w:lineRule="auto"/>
              <w:jc w:val="center"/>
              <w:rPr>
                <w:rFonts w:ascii="宋体" w:hAnsi="Times New Roman" w:eastAsia="Times New Roman"/>
                <w:kern w:val="0"/>
                <w:sz w:val="18"/>
                <w:szCs w:val="18"/>
              </w:rPr>
            </w:pPr>
          </w:p>
        </w:tc>
      </w:tr>
    </w:tbl>
    <w:p w14:paraId="13B4ACD3">
      <w:pPr>
        <w:pStyle w:val="211"/>
      </w:pPr>
      <w:r>
        <w:rPr>
          <w:rFonts w:hint="eastAsia"/>
        </w:rPr>
        <w:t>数据质量评价体系表见表C.3。</w:t>
      </w:r>
    </w:p>
    <w:p w14:paraId="1556CFEE">
      <w:pPr>
        <w:pStyle w:val="56"/>
        <w:ind w:firstLine="420"/>
      </w:pPr>
      <w:r>
        <w:rPr>
          <w:rFonts w:hint="eastAsia"/>
        </w:rPr>
        <w:t>评价体系包括时间相关性、区域相关性与技术相关性3项评价指标，并在每项指标中用5分制来评价数据质量。通过计算每个数据的5项指标总分来表征输入输出数据的质量(最高25分),宜采用数据质量评分较高的数据。</w:t>
      </w:r>
    </w:p>
    <w:p w14:paraId="3E73968F">
      <w:pPr>
        <w:pStyle w:val="77"/>
        <w:spacing w:before="120" w:after="120"/>
      </w:pPr>
      <w:r>
        <w:rPr>
          <w:rFonts w:hint="eastAsia"/>
        </w:rPr>
        <w:t>数据质量评价体系表</w:t>
      </w:r>
    </w:p>
    <w:tbl>
      <w:tblPr>
        <w:tblStyle w:val="230"/>
        <w:tblW w:w="5142"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211"/>
        <w:gridCol w:w="1737"/>
        <w:gridCol w:w="1728"/>
        <w:gridCol w:w="1622"/>
        <w:gridCol w:w="1761"/>
        <w:gridCol w:w="1581"/>
      </w:tblGrid>
      <w:tr w14:paraId="04D60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628" w:type="pct"/>
            <w:vMerge w:val="restart"/>
            <w:tcBorders>
              <w:top w:val="single" w:color="000000" w:sz="8" w:space="0"/>
              <w:left w:val="single" w:color="000000" w:sz="8" w:space="0"/>
              <w:bottom w:val="nil"/>
              <w:right w:val="single" w:color="000000" w:sz="4" w:space="0"/>
            </w:tcBorders>
            <w:vAlign w:val="center"/>
          </w:tcPr>
          <w:p w14:paraId="7363AF28">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数据质量评价项</w:t>
            </w:r>
          </w:p>
        </w:tc>
        <w:tc>
          <w:tcPr>
            <w:tcW w:w="4371" w:type="pct"/>
            <w:gridSpan w:val="5"/>
            <w:tcBorders>
              <w:top w:val="single" w:color="000000" w:sz="8" w:space="0"/>
              <w:left w:val="single" w:color="000000" w:sz="4" w:space="0"/>
              <w:bottom w:val="single" w:color="000000" w:sz="4" w:space="0"/>
              <w:right w:val="single" w:color="000000" w:sz="8" w:space="0"/>
            </w:tcBorders>
            <w:vAlign w:val="center"/>
          </w:tcPr>
          <w:p w14:paraId="52438F1C">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项目分值</w:t>
            </w:r>
          </w:p>
        </w:tc>
      </w:tr>
      <w:tr w14:paraId="4728A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628" w:type="pct"/>
            <w:vMerge w:val="continue"/>
            <w:tcBorders>
              <w:top w:val="single" w:color="000000" w:sz="4" w:space="0"/>
              <w:left w:val="single" w:color="000000" w:sz="8" w:space="0"/>
              <w:bottom w:val="nil"/>
              <w:right w:val="single" w:color="000000" w:sz="4" w:space="0"/>
            </w:tcBorders>
            <w:vAlign w:val="center"/>
          </w:tcPr>
          <w:p w14:paraId="231D4B50">
            <w:pPr>
              <w:widowControl/>
              <w:adjustRightInd/>
              <w:spacing w:line="240" w:lineRule="auto"/>
              <w:jc w:val="left"/>
              <w:rPr>
                <w:rFonts w:ascii="宋体" w:hAnsi="Times New Roman" w:eastAsia="Times New Roman"/>
                <w:kern w:val="0"/>
                <w:sz w:val="18"/>
                <w:szCs w:val="18"/>
              </w:rPr>
            </w:pPr>
          </w:p>
        </w:tc>
        <w:tc>
          <w:tcPr>
            <w:tcW w:w="901" w:type="pct"/>
            <w:tcBorders>
              <w:top w:val="single" w:color="000000" w:sz="4" w:space="0"/>
              <w:left w:val="single" w:color="000000" w:sz="4" w:space="0"/>
              <w:bottom w:val="single" w:color="000000" w:sz="4" w:space="0"/>
              <w:right w:val="single" w:color="000000" w:sz="4" w:space="0"/>
            </w:tcBorders>
            <w:vAlign w:val="center"/>
          </w:tcPr>
          <w:p w14:paraId="35DEFD2D">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5</w:t>
            </w:r>
          </w:p>
        </w:tc>
        <w:tc>
          <w:tcPr>
            <w:tcW w:w="896" w:type="pct"/>
            <w:tcBorders>
              <w:top w:val="single" w:color="000000" w:sz="4" w:space="0"/>
              <w:left w:val="single" w:color="000000" w:sz="4" w:space="0"/>
              <w:bottom w:val="single" w:color="000000" w:sz="4" w:space="0"/>
              <w:right w:val="single" w:color="000000" w:sz="4" w:space="0"/>
            </w:tcBorders>
            <w:vAlign w:val="center"/>
          </w:tcPr>
          <w:p w14:paraId="46A37B4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4</w:t>
            </w:r>
          </w:p>
        </w:tc>
        <w:tc>
          <w:tcPr>
            <w:tcW w:w="841" w:type="pct"/>
            <w:tcBorders>
              <w:top w:val="single" w:color="000000" w:sz="4" w:space="0"/>
              <w:left w:val="single" w:color="000000" w:sz="4" w:space="0"/>
              <w:bottom w:val="single" w:color="000000" w:sz="4" w:space="0"/>
              <w:right w:val="single" w:color="000000" w:sz="4" w:space="0"/>
            </w:tcBorders>
            <w:vAlign w:val="center"/>
          </w:tcPr>
          <w:p w14:paraId="08BCCA5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3</w:t>
            </w:r>
          </w:p>
        </w:tc>
        <w:tc>
          <w:tcPr>
            <w:tcW w:w="913" w:type="pct"/>
            <w:tcBorders>
              <w:top w:val="single" w:color="000000" w:sz="4" w:space="0"/>
              <w:left w:val="single" w:color="000000" w:sz="4" w:space="0"/>
              <w:bottom w:val="single" w:color="000000" w:sz="4" w:space="0"/>
              <w:right w:val="single" w:color="000000" w:sz="4" w:space="0"/>
            </w:tcBorders>
            <w:vAlign w:val="center"/>
          </w:tcPr>
          <w:p w14:paraId="4DAABE33">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2</w:t>
            </w:r>
          </w:p>
        </w:tc>
        <w:tc>
          <w:tcPr>
            <w:tcW w:w="819" w:type="pct"/>
            <w:tcBorders>
              <w:top w:val="single" w:color="000000" w:sz="4" w:space="0"/>
              <w:left w:val="single" w:color="000000" w:sz="4" w:space="0"/>
              <w:bottom w:val="single" w:color="000000" w:sz="4" w:space="0"/>
              <w:right w:val="single" w:color="000000" w:sz="8" w:space="0"/>
            </w:tcBorders>
            <w:vAlign w:val="center"/>
          </w:tcPr>
          <w:p w14:paraId="2A4F8185">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1</w:t>
            </w:r>
          </w:p>
        </w:tc>
      </w:tr>
      <w:tr w14:paraId="77E1E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628" w:type="pct"/>
            <w:tcBorders>
              <w:top w:val="single" w:color="000000" w:sz="4" w:space="0"/>
              <w:left w:val="single" w:color="000000" w:sz="8" w:space="0"/>
              <w:bottom w:val="single" w:color="000000" w:sz="4" w:space="0"/>
              <w:right w:val="single" w:color="000000" w:sz="4" w:space="0"/>
            </w:tcBorders>
            <w:vAlign w:val="center"/>
          </w:tcPr>
          <w:p w14:paraId="7CAB28D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时间相关性</w:t>
            </w:r>
          </w:p>
        </w:tc>
        <w:tc>
          <w:tcPr>
            <w:tcW w:w="901" w:type="pct"/>
            <w:tcBorders>
              <w:top w:val="single" w:color="000000" w:sz="4" w:space="0"/>
              <w:left w:val="single" w:color="000000" w:sz="4" w:space="0"/>
              <w:bottom w:val="single" w:color="000000" w:sz="4" w:space="0"/>
              <w:right w:val="single" w:color="000000" w:sz="4" w:space="0"/>
            </w:tcBorders>
            <w:vAlign w:val="center"/>
          </w:tcPr>
          <w:p w14:paraId="4D4A59BB">
            <w:pPr>
              <w:widowControl/>
              <w:autoSpaceDE w:val="0"/>
              <w:autoSpaceDN w:val="0"/>
              <w:adjustRightInd/>
              <w:spacing w:line="240" w:lineRule="auto"/>
              <w:jc w:val="center"/>
              <w:rPr>
                <w:rFonts w:ascii="宋体" w:hAnsi="Times New Roman" w:eastAsia="Times New Roman"/>
                <w:kern w:val="0"/>
                <w:sz w:val="18"/>
                <w:szCs w:val="18"/>
              </w:rPr>
            </w:pPr>
            <w:r>
              <w:rPr>
                <w:rFonts w:hint="eastAsia" w:ascii="Times New Roman" w:hAnsi="Times New Roman" w:eastAsia="Times New Roman"/>
                <w:kern w:val="0"/>
                <w:sz w:val="18"/>
                <w:szCs w:val="18"/>
              </w:rPr>
              <w:t>≤</w:t>
            </w:r>
            <w:r>
              <w:rPr>
                <w:rFonts w:hint="eastAsia" w:ascii="宋体" w:hAnsi="宋体" w:eastAsia="Times New Roman"/>
                <w:kern w:val="0"/>
                <w:sz w:val="18"/>
                <w:szCs w:val="18"/>
              </w:rPr>
              <w:t>1年</w:t>
            </w:r>
          </w:p>
        </w:tc>
        <w:tc>
          <w:tcPr>
            <w:tcW w:w="896" w:type="pct"/>
            <w:tcBorders>
              <w:top w:val="single" w:color="000000" w:sz="4" w:space="0"/>
              <w:left w:val="single" w:color="000000" w:sz="4" w:space="0"/>
              <w:bottom w:val="single" w:color="000000" w:sz="4" w:space="0"/>
              <w:right w:val="single" w:color="000000" w:sz="4" w:space="0"/>
            </w:tcBorders>
            <w:vAlign w:val="center"/>
          </w:tcPr>
          <w:p w14:paraId="38613992">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&gt;1年，</w:t>
            </w:r>
            <w:r>
              <w:rPr>
                <w:rFonts w:hint="eastAsia" w:ascii="Times New Roman" w:hAnsi="Times New Roman" w:eastAsia="Times New Roman"/>
                <w:kern w:val="0"/>
                <w:sz w:val="18"/>
                <w:szCs w:val="18"/>
              </w:rPr>
              <w:t>≤</w:t>
            </w:r>
            <w:r>
              <w:rPr>
                <w:rFonts w:hint="eastAsia" w:ascii="宋体" w:hAnsi="宋体" w:eastAsia="Times New Roman"/>
                <w:kern w:val="0"/>
                <w:sz w:val="18"/>
                <w:szCs w:val="18"/>
              </w:rPr>
              <w:t>5年</w:t>
            </w:r>
          </w:p>
        </w:tc>
        <w:tc>
          <w:tcPr>
            <w:tcW w:w="841" w:type="pct"/>
            <w:tcBorders>
              <w:top w:val="single" w:color="000000" w:sz="4" w:space="0"/>
              <w:left w:val="single" w:color="000000" w:sz="4" w:space="0"/>
              <w:bottom w:val="single" w:color="000000" w:sz="4" w:space="0"/>
              <w:right w:val="single" w:color="000000" w:sz="4" w:space="0"/>
            </w:tcBorders>
            <w:vAlign w:val="center"/>
          </w:tcPr>
          <w:p w14:paraId="04EA595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&gt;5年，</w:t>
            </w:r>
            <w:r>
              <w:rPr>
                <w:rFonts w:hint="eastAsia" w:ascii="Times New Roman" w:hAnsi="Times New Roman" w:eastAsia="Times New Roman"/>
                <w:kern w:val="0"/>
                <w:sz w:val="18"/>
                <w:szCs w:val="18"/>
              </w:rPr>
              <w:t>≤</w:t>
            </w:r>
            <w:r>
              <w:rPr>
                <w:rFonts w:hint="eastAsia" w:ascii="宋体" w:hAnsi="宋体" w:eastAsia="Times New Roman"/>
                <w:kern w:val="0"/>
                <w:sz w:val="18"/>
                <w:szCs w:val="18"/>
              </w:rPr>
              <w:t>10年</w:t>
            </w:r>
          </w:p>
        </w:tc>
        <w:tc>
          <w:tcPr>
            <w:tcW w:w="913" w:type="pct"/>
            <w:tcBorders>
              <w:top w:val="single" w:color="000000" w:sz="4" w:space="0"/>
              <w:left w:val="single" w:color="000000" w:sz="4" w:space="0"/>
              <w:bottom w:val="single" w:color="000000" w:sz="4" w:space="0"/>
              <w:right w:val="single" w:color="000000" w:sz="4" w:space="0"/>
            </w:tcBorders>
            <w:vAlign w:val="center"/>
          </w:tcPr>
          <w:p w14:paraId="2D71A357">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&gt;10年，</w:t>
            </w:r>
            <w:r>
              <w:rPr>
                <w:rFonts w:hint="eastAsia" w:ascii="Times New Roman" w:hAnsi="Times New Roman" w:eastAsia="Times New Roman"/>
                <w:kern w:val="0"/>
                <w:sz w:val="18"/>
                <w:szCs w:val="18"/>
              </w:rPr>
              <w:t>≤</w:t>
            </w:r>
            <w:r>
              <w:rPr>
                <w:rFonts w:hint="eastAsia" w:ascii="宋体" w:hAnsi="宋体" w:eastAsia="Times New Roman"/>
                <w:kern w:val="0"/>
                <w:sz w:val="18"/>
                <w:szCs w:val="18"/>
              </w:rPr>
              <w:t>15年</w:t>
            </w:r>
          </w:p>
        </w:tc>
        <w:tc>
          <w:tcPr>
            <w:tcW w:w="819" w:type="pct"/>
            <w:tcBorders>
              <w:top w:val="single" w:color="000000" w:sz="4" w:space="0"/>
              <w:left w:val="single" w:color="000000" w:sz="4" w:space="0"/>
              <w:bottom w:val="single" w:color="000000" w:sz="4" w:space="0"/>
              <w:right w:val="single" w:color="000000" w:sz="8" w:space="0"/>
            </w:tcBorders>
            <w:vAlign w:val="center"/>
          </w:tcPr>
          <w:p w14:paraId="7B940071">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Times New Roman" w:eastAsia="Times New Roman"/>
                <w:kern w:val="0"/>
                <w:sz w:val="18"/>
                <w:szCs w:val="18"/>
              </w:rPr>
              <w:t>&gt;15年，或未知</w:t>
            </w:r>
          </w:p>
        </w:tc>
      </w:tr>
      <w:tr w14:paraId="59B11D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628" w:type="pct"/>
            <w:tcBorders>
              <w:top w:val="single" w:color="000000" w:sz="4" w:space="0"/>
              <w:left w:val="single" w:color="000000" w:sz="8" w:space="0"/>
              <w:bottom w:val="single" w:color="000000" w:sz="4" w:space="0"/>
              <w:right w:val="single" w:color="000000" w:sz="4" w:space="0"/>
            </w:tcBorders>
            <w:vAlign w:val="center"/>
          </w:tcPr>
          <w:p w14:paraId="303FF266">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区域相关性</w:t>
            </w:r>
          </w:p>
        </w:tc>
        <w:tc>
          <w:tcPr>
            <w:tcW w:w="901" w:type="pct"/>
            <w:tcBorders>
              <w:top w:val="single" w:color="000000" w:sz="4" w:space="0"/>
              <w:left w:val="single" w:color="000000" w:sz="4" w:space="0"/>
              <w:bottom w:val="single" w:color="000000" w:sz="4" w:space="0"/>
              <w:right w:val="single" w:color="000000" w:sz="4" w:space="0"/>
            </w:tcBorders>
            <w:vAlign w:val="center"/>
          </w:tcPr>
          <w:p w14:paraId="2042F96A">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本区域数据</w:t>
            </w:r>
          </w:p>
        </w:tc>
        <w:tc>
          <w:tcPr>
            <w:tcW w:w="896" w:type="pct"/>
            <w:tcBorders>
              <w:top w:val="single" w:color="000000" w:sz="4" w:space="0"/>
              <w:left w:val="single" w:color="000000" w:sz="4" w:space="0"/>
              <w:bottom w:val="single" w:color="000000" w:sz="4" w:space="0"/>
              <w:right w:val="single" w:color="000000" w:sz="4" w:space="0"/>
            </w:tcBorders>
            <w:vAlign w:val="center"/>
          </w:tcPr>
          <w:p w14:paraId="4467207D">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包含本区域的较大区域范围平均数据</w:t>
            </w:r>
          </w:p>
        </w:tc>
        <w:tc>
          <w:tcPr>
            <w:tcW w:w="841" w:type="pct"/>
            <w:tcBorders>
              <w:top w:val="single" w:color="000000" w:sz="4" w:space="0"/>
              <w:left w:val="single" w:color="000000" w:sz="4" w:space="0"/>
              <w:bottom w:val="single" w:color="000000" w:sz="4" w:space="0"/>
              <w:right w:val="single" w:color="000000" w:sz="4" w:space="0"/>
            </w:tcBorders>
            <w:vAlign w:val="center"/>
          </w:tcPr>
          <w:p w14:paraId="4356321A">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类似生产条件的区域数据</w:t>
            </w:r>
          </w:p>
        </w:tc>
        <w:tc>
          <w:tcPr>
            <w:tcW w:w="913" w:type="pct"/>
            <w:tcBorders>
              <w:top w:val="single" w:color="000000" w:sz="4" w:space="0"/>
              <w:left w:val="single" w:color="000000" w:sz="4" w:space="0"/>
              <w:bottom w:val="single" w:color="000000" w:sz="4" w:space="0"/>
              <w:right w:val="single" w:color="000000" w:sz="4" w:space="0"/>
            </w:tcBorders>
            <w:vAlign w:val="center"/>
          </w:tcPr>
          <w:p w14:paraId="5CCCEF5A">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稍微类似生产条件的区域数据</w:t>
            </w:r>
          </w:p>
        </w:tc>
        <w:tc>
          <w:tcPr>
            <w:tcW w:w="819" w:type="pct"/>
            <w:tcBorders>
              <w:top w:val="single" w:color="000000" w:sz="4" w:space="0"/>
              <w:left w:val="single" w:color="000000" w:sz="4" w:space="0"/>
              <w:bottom w:val="single" w:color="000000" w:sz="4" w:space="0"/>
              <w:right w:val="single" w:color="000000" w:sz="8" w:space="0"/>
            </w:tcBorders>
            <w:vAlign w:val="center"/>
          </w:tcPr>
          <w:p w14:paraId="3D073CB7">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未知或生产条件完全不同的区域数据</w:t>
            </w:r>
          </w:p>
        </w:tc>
      </w:tr>
      <w:tr w14:paraId="3F1E4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628" w:type="pct"/>
            <w:tcBorders>
              <w:top w:val="single" w:color="000000" w:sz="4" w:space="0"/>
              <w:left w:val="single" w:color="000000" w:sz="8" w:space="0"/>
              <w:bottom w:val="single" w:color="000000" w:sz="8" w:space="0"/>
              <w:right w:val="single" w:color="000000" w:sz="4" w:space="0"/>
            </w:tcBorders>
            <w:vAlign w:val="center"/>
          </w:tcPr>
          <w:p w14:paraId="7ABF3272">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技术相关性</w:t>
            </w:r>
          </w:p>
        </w:tc>
        <w:tc>
          <w:tcPr>
            <w:tcW w:w="901" w:type="pct"/>
            <w:tcBorders>
              <w:top w:val="single" w:color="000000" w:sz="4" w:space="0"/>
              <w:left w:val="single" w:color="000000" w:sz="4" w:space="0"/>
              <w:bottom w:val="single" w:color="000000" w:sz="8" w:space="0"/>
              <w:right w:val="single" w:color="000000" w:sz="4" w:space="0"/>
            </w:tcBorders>
            <w:vAlign w:val="center"/>
          </w:tcPr>
          <w:p w14:paraId="13FF4730">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从生产链直接获得的数据</w:t>
            </w:r>
          </w:p>
        </w:tc>
        <w:tc>
          <w:tcPr>
            <w:tcW w:w="896" w:type="pct"/>
            <w:tcBorders>
              <w:top w:val="single" w:color="000000" w:sz="4" w:space="0"/>
              <w:left w:val="single" w:color="000000" w:sz="4" w:space="0"/>
              <w:bottom w:val="single" w:color="000000" w:sz="8" w:space="0"/>
              <w:right w:val="single" w:color="000000" w:sz="4" w:space="0"/>
            </w:tcBorders>
            <w:vAlign w:val="center"/>
          </w:tcPr>
          <w:p w14:paraId="435AB502">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代表相同工艺、相同技术水平的数据</w:t>
            </w:r>
          </w:p>
        </w:tc>
        <w:tc>
          <w:tcPr>
            <w:tcW w:w="841" w:type="pct"/>
            <w:tcBorders>
              <w:top w:val="single" w:color="000000" w:sz="4" w:space="0"/>
              <w:left w:val="single" w:color="000000" w:sz="4" w:space="0"/>
              <w:bottom w:val="single" w:color="000000" w:sz="8" w:space="0"/>
              <w:right w:val="single" w:color="000000" w:sz="4" w:space="0"/>
            </w:tcBorders>
            <w:vAlign w:val="center"/>
          </w:tcPr>
          <w:p w14:paraId="09DEECE4">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代表相同工艺、相近技术水平的数据</w:t>
            </w:r>
          </w:p>
        </w:tc>
        <w:tc>
          <w:tcPr>
            <w:tcW w:w="913" w:type="pct"/>
            <w:tcBorders>
              <w:top w:val="single" w:color="000000" w:sz="4" w:space="0"/>
              <w:left w:val="single" w:color="000000" w:sz="4" w:space="0"/>
              <w:bottom w:val="single" w:color="000000" w:sz="8" w:space="0"/>
              <w:right w:val="single" w:color="000000" w:sz="4" w:space="0"/>
            </w:tcBorders>
            <w:vAlign w:val="center"/>
          </w:tcPr>
          <w:p w14:paraId="48328E2A">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代表相同工艺、技术水平差距较大的数据</w:t>
            </w:r>
          </w:p>
        </w:tc>
        <w:tc>
          <w:tcPr>
            <w:tcW w:w="819" w:type="pct"/>
            <w:tcBorders>
              <w:top w:val="single" w:color="000000" w:sz="4" w:space="0"/>
              <w:left w:val="single" w:color="000000" w:sz="4" w:space="0"/>
              <w:bottom w:val="single" w:color="000000" w:sz="8" w:space="0"/>
              <w:right w:val="single" w:color="000000" w:sz="8" w:space="0"/>
            </w:tcBorders>
            <w:vAlign w:val="center"/>
          </w:tcPr>
          <w:p w14:paraId="5684C8F5">
            <w:pPr>
              <w:widowControl/>
              <w:autoSpaceDE w:val="0"/>
              <w:autoSpaceDN w:val="0"/>
              <w:adjustRightInd/>
              <w:spacing w:line="240" w:lineRule="auto"/>
              <w:jc w:val="center"/>
              <w:rPr>
                <w:rFonts w:ascii="宋体" w:hAnsi="Times New Roman" w:eastAsia="Times New Roman"/>
                <w:kern w:val="0"/>
                <w:sz w:val="18"/>
                <w:szCs w:val="18"/>
              </w:rPr>
            </w:pPr>
            <w:r>
              <w:rPr>
                <w:rFonts w:hint="eastAsia" w:ascii="宋体" w:hAnsi="宋体" w:eastAsia="Times New Roman"/>
                <w:kern w:val="0"/>
                <w:sz w:val="18"/>
                <w:szCs w:val="18"/>
              </w:rPr>
              <w:t>未知或不同工艺的数据</w:t>
            </w:r>
          </w:p>
        </w:tc>
      </w:tr>
    </w:tbl>
    <w:p w14:paraId="07B66E47">
      <w:pPr>
        <w:pStyle w:val="56"/>
        <w:ind w:firstLine="420"/>
        <w:sectPr>
          <w:pgSz w:w="11906" w:h="16838"/>
          <w:pgMar w:top="1928" w:right="1134" w:bottom="1134" w:left="1134" w:header="1418" w:footer="1134" w:gutter="284"/>
          <w:cols w:space="425" w:num="1"/>
          <w:formProt w:val="0"/>
          <w:docGrid w:linePitch="312" w:charSpace="0"/>
        </w:sectPr>
      </w:pPr>
    </w:p>
    <w:p w14:paraId="7CB16099">
      <w:pPr>
        <w:pStyle w:val="198"/>
        <w:rPr>
          <w:rFonts w:hint="eastAsia"/>
          <w:vanish w:val="0"/>
        </w:rPr>
      </w:pPr>
    </w:p>
    <w:p w14:paraId="3BD3C05F">
      <w:pPr>
        <w:pStyle w:val="199"/>
        <w:rPr>
          <w:vanish w:val="0"/>
        </w:rPr>
      </w:pPr>
    </w:p>
    <w:p w14:paraId="4587E0D7">
      <w:pPr>
        <w:pStyle w:val="76"/>
        <w:spacing w:after="120"/>
      </w:pPr>
      <w:bookmarkStart w:id="162" w:name="_Toc30248"/>
      <w:r>
        <w:br w:type="textWrapping"/>
      </w:r>
      <w:bookmarkStart w:id="163" w:name="_Toc219754438"/>
      <w:bookmarkStart w:id="164" w:name="_Toc219754402"/>
      <w:r>
        <w:rPr>
          <w:rFonts w:hint="eastAsia"/>
        </w:rPr>
        <w:t>（资料性）</w:t>
      </w:r>
      <w:r>
        <w:br w:type="textWrapping"/>
      </w:r>
      <w:r>
        <w:rPr>
          <w:rFonts w:hint="eastAsia"/>
        </w:rPr>
        <w:t>温室气体全球变暖潜势值</w:t>
      </w:r>
      <w:bookmarkEnd w:id="162"/>
      <w:bookmarkEnd w:id="163"/>
      <w:bookmarkEnd w:id="164"/>
    </w:p>
    <w:p w14:paraId="08C97A44">
      <w:pPr>
        <w:pStyle w:val="56"/>
        <w:ind w:firstLine="420"/>
      </w:pPr>
      <w:r>
        <w:rPr>
          <w:rFonts w:hint="eastAsia"/>
        </w:rPr>
        <w:t>温室气体全球变暖潜势值（GWP）见表D.1。</w:t>
      </w:r>
    </w:p>
    <w:p w14:paraId="3464343B">
      <w:pPr>
        <w:pStyle w:val="77"/>
        <w:spacing w:before="120" w:after="120"/>
      </w:pPr>
      <w:r>
        <w:rPr>
          <w:rFonts w:hint="eastAsia"/>
        </w:rPr>
        <w:t>温室气体全球变暖潜势值</w:t>
      </w:r>
    </w:p>
    <w:tbl>
      <w:tblPr>
        <w:tblStyle w:val="230"/>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3082"/>
        <w:gridCol w:w="3069"/>
        <w:gridCol w:w="3223"/>
      </w:tblGrid>
      <w:tr w14:paraId="385B43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c>
          <w:tcPr>
            <w:tcW w:w="1644" w:type="pct"/>
            <w:tcBorders>
              <w:top w:val="single" w:color="000000" w:sz="8" w:space="0"/>
              <w:bottom w:val="single" w:color="000000" w:sz="8" w:space="0"/>
            </w:tcBorders>
            <w:vAlign w:val="center"/>
          </w:tcPr>
          <w:p w14:paraId="033497C0">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气体名称</w:t>
            </w:r>
          </w:p>
        </w:tc>
        <w:tc>
          <w:tcPr>
            <w:tcW w:w="1637" w:type="pct"/>
            <w:tcBorders>
              <w:top w:val="single" w:color="000000" w:sz="8" w:space="0"/>
              <w:bottom w:val="single" w:color="000000" w:sz="8" w:space="0"/>
            </w:tcBorders>
            <w:vAlign w:val="center"/>
          </w:tcPr>
          <w:p w14:paraId="13AE4BD6">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化学分子式</w:t>
            </w:r>
          </w:p>
        </w:tc>
        <w:tc>
          <w:tcPr>
            <w:tcW w:w="1719" w:type="pct"/>
            <w:tcBorders>
              <w:top w:val="single" w:color="000000" w:sz="8" w:space="0"/>
              <w:bottom w:val="single" w:color="000000" w:sz="8" w:space="0"/>
            </w:tcBorders>
            <w:vAlign w:val="center"/>
          </w:tcPr>
          <w:p w14:paraId="20A0153B">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100</w:t>
            </w:r>
            <w:r>
              <w:rPr>
                <w:rFonts w:eastAsia="Times New Roman" w:cs="Times New Roman"/>
                <w:sz w:val="18"/>
              </w:rPr>
              <w:t>年的</w:t>
            </w:r>
            <w:r>
              <w:rPr>
                <w:rFonts w:ascii="Times New Roman" w:hAnsi="Times New Roman" w:eastAsia="Times New Roman" w:cs="Times New Roman"/>
                <w:sz w:val="18"/>
              </w:rPr>
              <w:t>GWP(</w:t>
            </w:r>
            <w:r>
              <w:rPr>
                <w:rFonts w:eastAsia="Times New Roman" w:cs="Times New Roman"/>
                <w:sz w:val="18"/>
              </w:rPr>
              <w:t>截至出版时</w:t>
            </w:r>
            <w:r>
              <w:rPr>
                <w:rFonts w:ascii="Times New Roman" w:hAnsi="Times New Roman" w:eastAsia="Times New Roman" w:cs="Times New Roman"/>
                <w:sz w:val="18"/>
              </w:rPr>
              <w:t>)</w:t>
            </w:r>
          </w:p>
        </w:tc>
      </w:tr>
      <w:tr w14:paraId="503896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tcBorders>
              <w:top w:val="single" w:color="000000" w:sz="8" w:space="0"/>
            </w:tcBorders>
            <w:vAlign w:val="center"/>
          </w:tcPr>
          <w:p w14:paraId="203F9253">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二氧化碳</w:t>
            </w:r>
          </w:p>
        </w:tc>
        <w:tc>
          <w:tcPr>
            <w:tcW w:w="1637" w:type="pct"/>
            <w:tcBorders>
              <w:top w:val="single" w:color="000000" w:sz="8" w:space="0"/>
            </w:tcBorders>
            <w:vAlign w:val="center"/>
          </w:tcPr>
          <w:p w14:paraId="41DD2B28">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CO₂</w:t>
            </w:r>
          </w:p>
        </w:tc>
        <w:tc>
          <w:tcPr>
            <w:tcW w:w="1719" w:type="pct"/>
            <w:tcBorders>
              <w:top w:val="single" w:color="000000" w:sz="8" w:space="0"/>
            </w:tcBorders>
            <w:vAlign w:val="center"/>
          </w:tcPr>
          <w:p w14:paraId="5CCD6F6D">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w:t>
            </w:r>
          </w:p>
        </w:tc>
      </w:tr>
      <w:tr w14:paraId="727787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2601910E">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甲烷</w:t>
            </w:r>
          </w:p>
        </w:tc>
        <w:tc>
          <w:tcPr>
            <w:tcW w:w="1637" w:type="pct"/>
            <w:vAlign w:val="center"/>
          </w:tcPr>
          <w:p w14:paraId="252692F7">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CH₄</w:t>
            </w:r>
          </w:p>
        </w:tc>
        <w:tc>
          <w:tcPr>
            <w:tcW w:w="1719" w:type="pct"/>
            <w:vAlign w:val="center"/>
          </w:tcPr>
          <w:p w14:paraId="53E0CF24">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27.9</w:t>
            </w:r>
          </w:p>
        </w:tc>
      </w:tr>
      <w:tr w14:paraId="61EDA5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6EA45026">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氧化亚氮</w:t>
            </w:r>
          </w:p>
        </w:tc>
        <w:tc>
          <w:tcPr>
            <w:tcW w:w="1637" w:type="pct"/>
            <w:vAlign w:val="center"/>
          </w:tcPr>
          <w:p w14:paraId="30A3AF6D">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N₂O</w:t>
            </w:r>
          </w:p>
        </w:tc>
        <w:tc>
          <w:tcPr>
            <w:tcW w:w="1719" w:type="pct"/>
            <w:vAlign w:val="center"/>
          </w:tcPr>
          <w:p w14:paraId="128DB88D">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273</w:t>
            </w:r>
          </w:p>
        </w:tc>
      </w:tr>
      <w:tr w14:paraId="68C8B7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74F04D3E">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三氟化氮</w:t>
            </w:r>
          </w:p>
        </w:tc>
        <w:tc>
          <w:tcPr>
            <w:tcW w:w="1637" w:type="pct"/>
            <w:vAlign w:val="center"/>
          </w:tcPr>
          <w:p w14:paraId="41D02D06">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NF₃</w:t>
            </w:r>
          </w:p>
        </w:tc>
        <w:tc>
          <w:tcPr>
            <w:tcW w:w="1719" w:type="pct"/>
            <w:vAlign w:val="center"/>
          </w:tcPr>
          <w:p w14:paraId="6A5C0F6D">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17400</w:t>
            </w:r>
          </w:p>
        </w:tc>
      </w:tr>
      <w:tr w14:paraId="0A4356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7722F0CB">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六氟化硫</w:t>
            </w:r>
          </w:p>
        </w:tc>
        <w:tc>
          <w:tcPr>
            <w:tcW w:w="1637" w:type="pct"/>
            <w:vAlign w:val="center"/>
          </w:tcPr>
          <w:p w14:paraId="127C86BF">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SF₆</w:t>
            </w:r>
          </w:p>
        </w:tc>
        <w:tc>
          <w:tcPr>
            <w:tcW w:w="1719" w:type="pct"/>
            <w:vAlign w:val="center"/>
          </w:tcPr>
          <w:p w14:paraId="4E4A0F8C">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25200</w:t>
            </w:r>
          </w:p>
        </w:tc>
      </w:tr>
      <w:tr w14:paraId="46E04F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5000" w:type="pct"/>
            <w:gridSpan w:val="3"/>
            <w:vAlign w:val="center"/>
          </w:tcPr>
          <w:p w14:paraId="545E75F6">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氢氟碳化物</w:t>
            </w:r>
            <w:r>
              <w:rPr>
                <w:rFonts w:ascii="Times New Roman" w:hAnsi="Times New Roman" w:eastAsia="Times New Roman" w:cs="Times New Roman"/>
                <w:sz w:val="18"/>
              </w:rPr>
              <w:t>(HFCs)</w:t>
            </w:r>
          </w:p>
        </w:tc>
      </w:tr>
      <w:tr w14:paraId="67C6D7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265CD273">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HFC-23</w:t>
            </w:r>
          </w:p>
        </w:tc>
        <w:tc>
          <w:tcPr>
            <w:tcW w:w="1637" w:type="pct"/>
            <w:vAlign w:val="center"/>
          </w:tcPr>
          <w:p w14:paraId="52024744">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CHF₃</w:t>
            </w:r>
          </w:p>
        </w:tc>
        <w:tc>
          <w:tcPr>
            <w:tcW w:w="1719" w:type="pct"/>
            <w:vAlign w:val="center"/>
          </w:tcPr>
          <w:p w14:paraId="3C74CC1A">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14600</w:t>
            </w:r>
          </w:p>
        </w:tc>
      </w:tr>
      <w:tr w14:paraId="6F7CCC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5244B7C9">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HFC-32</w:t>
            </w:r>
          </w:p>
        </w:tc>
        <w:tc>
          <w:tcPr>
            <w:tcW w:w="1637" w:type="pct"/>
            <w:vAlign w:val="center"/>
          </w:tcPr>
          <w:p w14:paraId="314B85C5">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CH₂F₂</w:t>
            </w:r>
          </w:p>
        </w:tc>
        <w:tc>
          <w:tcPr>
            <w:tcW w:w="1719" w:type="pct"/>
            <w:vAlign w:val="center"/>
          </w:tcPr>
          <w:p w14:paraId="395791B0">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771</w:t>
            </w:r>
          </w:p>
        </w:tc>
      </w:tr>
      <w:tr w14:paraId="2245E7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21BD3F5C">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HFC-41</w:t>
            </w:r>
          </w:p>
        </w:tc>
        <w:tc>
          <w:tcPr>
            <w:tcW w:w="1637" w:type="pct"/>
            <w:vAlign w:val="center"/>
          </w:tcPr>
          <w:p w14:paraId="74347A92">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CH₃F</w:t>
            </w:r>
          </w:p>
        </w:tc>
        <w:tc>
          <w:tcPr>
            <w:tcW w:w="1719" w:type="pct"/>
            <w:vAlign w:val="center"/>
          </w:tcPr>
          <w:p w14:paraId="1C4F1E30">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135</w:t>
            </w:r>
          </w:p>
        </w:tc>
      </w:tr>
      <w:tr w14:paraId="63790B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6ED61304">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HFC-125</w:t>
            </w:r>
          </w:p>
        </w:tc>
        <w:tc>
          <w:tcPr>
            <w:tcW w:w="1637" w:type="pct"/>
            <w:vAlign w:val="center"/>
          </w:tcPr>
          <w:p w14:paraId="25A4769E">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C₂HFs</w:t>
            </w:r>
          </w:p>
        </w:tc>
        <w:tc>
          <w:tcPr>
            <w:tcW w:w="1719" w:type="pct"/>
            <w:vAlign w:val="center"/>
          </w:tcPr>
          <w:p w14:paraId="3167501C">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3740</w:t>
            </w:r>
          </w:p>
        </w:tc>
      </w:tr>
      <w:tr w14:paraId="143DC6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35B36D9A">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HFC-134</w:t>
            </w:r>
          </w:p>
        </w:tc>
        <w:tc>
          <w:tcPr>
            <w:tcW w:w="1637" w:type="pct"/>
            <w:vAlign w:val="center"/>
          </w:tcPr>
          <w:p w14:paraId="3F80849D">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CHF₂CHF₂</w:t>
            </w:r>
          </w:p>
        </w:tc>
        <w:tc>
          <w:tcPr>
            <w:tcW w:w="1719" w:type="pct"/>
            <w:vAlign w:val="center"/>
          </w:tcPr>
          <w:p w14:paraId="406C4271">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1260</w:t>
            </w:r>
          </w:p>
        </w:tc>
      </w:tr>
      <w:tr w14:paraId="0DF6BD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2102CFA6">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HFC-134a</w:t>
            </w:r>
          </w:p>
        </w:tc>
        <w:tc>
          <w:tcPr>
            <w:tcW w:w="1637" w:type="pct"/>
            <w:vAlign w:val="center"/>
          </w:tcPr>
          <w:p w14:paraId="03E4D219">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C₂H₂F₄</w:t>
            </w:r>
          </w:p>
        </w:tc>
        <w:tc>
          <w:tcPr>
            <w:tcW w:w="1719" w:type="pct"/>
            <w:vAlign w:val="center"/>
          </w:tcPr>
          <w:p w14:paraId="7C5CC4CC">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1530</w:t>
            </w:r>
          </w:p>
        </w:tc>
      </w:tr>
      <w:tr w14:paraId="2DD249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4DCCAC20">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HFC-143</w:t>
            </w:r>
          </w:p>
        </w:tc>
        <w:tc>
          <w:tcPr>
            <w:tcW w:w="1637" w:type="pct"/>
            <w:vAlign w:val="center"/>
          </w:tcPr>
          <w:p w14:paraId="3FF418B3">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CH₂FCHF₂</w:t>
            </w:r>
          </w:p>
        </w:tc>
        <w:tc>
          <w:tcPr>
            <w:tcW w:w="1719" w:type="pct"/>
            <w:vAlign w:val="center"/>
          </w:tcPr>
          <w:p w14:paraId="12645309">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364</w:t>
            </w:r>
          </w:p>
        </w:tc>
      </w:tr>
      <w:tr w14:paraId="3C37EA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774B3333">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HFC-143a</w:t>
            </w:r>
          </w:p>
        </w:tc>
        <w:tc>
          <w:tcPr>
            <w:tcW w:w="1637" w:type="pct"/>
            <w:vAlign w:val="center"/>
          </w:tcPr>
          <w:p w14:paraId="1AF813AE">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CH₃CF₃</w:t>
            </w:r>
          </w:p>
        </w:tc>
        <w:tc>
          <w:tcPr>
            <w:tcW w:w="1719" w:type="pct"/>
            <w:vAlign w:val="center"/>
          </w:tcPr>
          <w:p w14:paraId="3A17C045">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5810</w:t>
            </w:r>
          </w:p>
        </w:tc>
      </w:tr>
      <w:tr w14:paraId="6985D1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482D70F2">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HFC-152a</w:t>
            </w:r>
          </w:p>
        </w:tc>
        <w:tc>
          <w:tcPr>
            <w:tcW w:w="1637" w:type="pct"/>
            <w:vAlign w:val="center"/>
          </w:tcPr>
          <w:p w14:paraId="1252D254">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C₂H₄F₂</w:t>
            </w:r>
          </w:p>
        </w:tc>
        <w:tc>
          <w:tcPr>
            <w:tcW w:w="1719" w:type="pct"/>
            <w:vAlign w:val="center"/>
          </w:tcPr>
          <w:p w14:paraId="0E5B8EE6">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164</w:t>
            </w:r>
          </w:p>
        </w:tc>
      </w:tr>
      <w:tr w14:paraId="424CB9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4DCC24BD">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HFC-227ea</w:t>
            </w:r>
          </w:p>
        </w:tc>
        <w:tc>
          <w:tcPr>
            <w:tcW w:w="1637" w:type="pct"/>
            <w:vAlign w:val="center"/>
          </w:tcPr>
          <w:p w14:paraId="2BAA41C6">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C₃HF₇</w:t>
            </w:r>
          </w:p>
        </w:tc>
        <w:tc>
          <w:tcPr>
            <w:tcW w:w="1719" w:type="pct"/>
            <w:vAlign w:val="center"/>
          </w:tcPr>
          <w:p w14:paraId="3DAA1DF9">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3600</w:t>
            </w:r>
          </w:p>
        </w:tc>
      </w:tr>
      <w:tr w14:paraId="72BC17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1475D18D">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HFC-236fa</w:t>
            </w:r>
          </w:p>
        </w:tc>
        <w:tc>
          <w:tcPr>
            <w:tcW w:w="1637" w:type="pct"/>
            <w:vAlign w:val="center"/>
          </w:tcPr>
          <w:p w14:paraId="06F4C479">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C₃H₂F₆</w:t>
            </w:r>
          </w:p>
        </w:tc>
        <w:tc>
          <w:tcPr>
            <w:tcW w:w="1719" w:type="pct"/>
            <w:vAlign w:val="center"/>
          </w:tcPr>
          <w:p w14:paraId="77221CE9">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8690</w:t>
            </w:r>
          </w:p>
        </w:tc>
      </w:tr>
      <w:tr w14:paraId="153A57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5000" w:type="pct"/>
            <w:gridSpan w:val="3"/>
            <w:vAlign w:val="center"/>
          </w:tcPr>
          <w:p w14:paraId="34D973C0">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全氟碳化物</w:t>
            </w:r>
            <w:r>
              <w:rPr>
                <w:rFonts w:ascii="Times New Roman" w:hAnsi="Times New Roman" w:eastAsia="Times New Roman" w:cs="Times New Roman"/>
                <w:sz w:val="18"/>
              </w:rPr>
              <w:t>(PFCs)</w:t>
            </w:r>
          </w:p>
        </w:tc>
      </w:tr>
      <w:tr w14:paraId="728011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7A341AE8">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全氟甲烷</w:t>
            </w:r>
            <w:r>
              <w:rPr>
                <w:rFonts w:ascii="Times New Roman" w:hAnsi="Times New Roman" w:eastAsia="Times New Roman" w:cs="Times New Roman"/>
                <w:sz w:val="18"/>
              </w:rPr>
              <w:t>(</w:t>
            </w:r>
            <w:r>
              <w:rPr>
                <w:rFonts w:eastAsia="Times New Roman" w:cs="Times New Roman"/>
                <w:sz w:val="18"/>
              </w:rPr>
              <w:t>四氟甲烷</w:t>
            </w:r>
            <w:r>
              <w:rPr>
                <w:rFonts w:ascii="Times New Roman" w:hAnsi="Times New Roman" w:eastAsia="Times New Roman" w:cs="Times New Roman"/>
                <w:sz w:val="18"/>
              </w:rPr>
              <w:t>)</w:t>
            </w:r>
          </w:p>
        </w:tc>
        <w:tc>
          <w:tcPr>
            <w:tcW w:w="1637" w:type="pct"/>
            <w:vAlign w:val="center"/>
          </w:tcPr>
          <w:p w14:paraId="3BF932BD">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CF₄</w:t>
            </w:r>
          </w:p>
        </w:tc>
        <w:tc>
          <w:tcPr>
            <w:tcW w:w="1719" w:type="pct"/>
            <w:vAlign w:val="center"/>
          </w:tcPr>
          <w:p w14:paraId="621C4B42">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7380</w:t>
            </w:r>
          </w:p>
        </w:tc>
      </w:tr>
      <w:tr w14:paraId="4E793F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362EEBC6">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全氟乙烷</w:t>
            </w:r>
            <w:r>
              <w:rPr>
                <w:rFonts w:ascii="Times New Roman" w:hAnsi="Times New Roman" w:eastAsia="Times New Roman" w:cs="Times New Roman"/>
                <w:sz w:val="18"/>
              </w:rPr>
              <w:t>(</w:t>
            </w:r>
            <w:r>
              <w:rPr>
                <w:rFonts w:eastAsia="Times New Roman" w:cs="Times New Roman"/>
                <w:sz w:val="18"/>
              </w:rPr>
              <w:t>六氟乙烷</w:t>
            </w:r>
            <w:r>
              <w:rPr>
                <w:rFonts w:ascii="Times New Roman" w:hAnsi="Times New Roman" w:eastAsia="Times New Roman" w:cs="Times New Roman"/>
                <w:sz w:val="18"/>
              </w:rPr>
              <w:t>)</w:t>
            </w:r>
          </w:p>
        </w:tc>
        <w:tc>
          <w:tcPr>
            <w:tcW w:w="1637" w:type="pct"/>
            <w:vAlign w:val="center"/>
          </w:tcPr>
          <w:p w14:paraId="4117EDC3">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C₂F₆</w:t>
            </w:r>
          </w:p>
        </w:tc>
        <w:tc>
          <w:tcPr>
            <w:tcW w:w="1719" w:type="pct"/>
            <w:vAlign w:val="center"/>
          </w:tcPr>
          <w:p w14:paraId="4E091BB8">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12400</w:t>
            </w:r>
          </w:p>
        </w:tc>
      </w:tr>
      <w:tr w14:paraId="791B82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1C8333C8">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全氟丙烷</w:t>
            </w:r>
          </w:p>
        </w:tc>
        <w:tc>
          <w:tcPr>
            <w:tcW w:w="1637" w:type="pct"/>
            <w:vAlign w:val="center"/>
          </w:tcPr>
          <w:p w14:paraId="70664ACF">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C₃Fg</w:t>
            </w:r>
          </w:p>
        </w:tc>
        <w:tc>
          <w:tcPr>
            <w:tcW w:w="1719" w:type="pct"/>
            <w:vAlign w:val="center"/>
          </w:tcPr>
          <w:p w14:paraId="1F50C829">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9290</w:t>
            </w:r>
          </w:p>
        </w:tc>
      </w:tr>
      <w:tr w14:paraId="2F6F59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2F5D8B15">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全氟丁烷</w:t>
            </w:r>
          </w:p>
        </w:tc>
        <w:tc>
          <w:tcPr>
            <w:tcW w:w="1637" w:type="pct"/>
            <w:vAlign w:val="center"/>
          </w:tcPr>
          <w:p w14:paraId="32AD67FE">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C₄F¹₀</w:t>
            </w:r>
          </w:p>
        </w:tc>
        <w:tc>
          <w:tcPr>
            <w:tcW w:w="1719" w:type="pct"/>
            <w:vAlign w:val="center"/>
          </w:tcPr>
          <w:p w14:paraId="417B3A10">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10000</w:t>
            </w:r>
          </w:p>
        </w:tc>
      </w:tr>
      <w:tr w14:paraId="2D8CB3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5DD8771D">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全氟环丁烷</w:t>
            </w:r>
          </w:p>
        </w:tc>
        <w:tc>
          <w:tcPr>
            <w:tcW w:w="1637" w:type="pct"/>
            <w:vAlign w:val="center"/>
          </w:tcPr>
          <w:p w14:paraId="545E73F8">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C₄F₈</w:t>
            </w:r>
          </w:p>
        </w:tc>
        <w:tc>
          <w:tcPr>
            <w:tcW w:w="1719" w:type="pct"/>
            <w:vAlign w:val="center"/>
          </w:tcPr>
          <w:p w14:paraId="4693C22B">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10200</w:t>
            </w:r>
          </w:p>
        </w:tc>
      </w:tr>
      <w:tr w14:paraId="43EBC4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09D3F052">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全氟戊烷</w:t>
            </w:r>
          </w:p>
        </w:tc>
        <w:tc>
          <w:tcPr>
            <w:tcW w:w="1637" w:type="pct"/>
            <w:vAlign w:val="center"/>
          </w:tcPr>
          <w:p w14:paraId="22B7428C">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CsFi</w:t>
            </w:r>
          </w:p>
        </w:tc>
        <w:tc>
          <w:tcPr>
            <w:tcW w:w="1719" w:type="pct"/>
            <w:vAlign w:val="center"/>
          </w:tcPr>
          <w:p w14:paraId="6B80B6A5">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9220</w:t>
            </w:r>
          </w:p>
        </w:tc>
      </w:tr>
      <w:tr w14:paraId="27232F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4" w:type="pct"/>
            <w:vAlign w:val="center"/>
          </w:tcPr>
          <w:p w14:paraId="46D33797">
            <w:pPr>
              <w:pStyle w:val="231"/>
              <w:autoSpaceDE w:val="0"/>
              <w:spacing w:line="240" w:lineRule="auto"/>
              <w:jc w:val="center"/>
              <w:rPr>
                <w:rFonts w:ascii="Times New Roman" w:hAnsi="Times New Roman" w:eastAsia="Times New Roman" w:cs="Times New Roman"/>
                <w:sz w:val="18"/>
              </w:rPr>
            </w:pPr>
            <w:r>
              <w:rPr>
                <w:rFonts w:eastAsia="Times New Roman" w:cs="Times New Roman"/>
                <w:sz w:val="18"/>
              </w:rPr>
              <w:t>全氟己烷</w:t>
            </w:r>
          </w:p>
        </w:tc>
        <w:tc>
          <w:tcPr>
            <w:tcW w:w="1637" w:type="pct"/>
            <w:vAlign w:val="center"/>
          </w:tcPr>
          <w:p w14:paraId="30086BE1">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C₆F₁₄</w:t>
            </w:r>
          </w:p>
        </w:tc>
        <w:tc>
          <w:tcPr>
            <w:tcW w:w="1719" w:type="pct"/>
            <w:vAlign w:val="center"/>
          </w:tcPr>
          <w:p w14:paraId="4E1F7047">
            <w:pPr>
              <w:pStyle w:val="231"/>
              <w:autoSpaceDE w:val="0"/>
              <w:spacing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8620</w:t>
            </w:r>
          </w:p>
        </w:tc>
      </w:tr>
      <w:tr w14:paraId="1988CD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5000" w:type="pct"/>
            <w:gridSpan w:val="3"/>
            <w:tcBorders>
              <w:top w:val="single" w:color="000000" w:sz="8" w:space="0"/>
              <w:bottom w:val="single" w:color="000000" w:sz="8" w:space="0"/>
            </w:tcBorders>
            <w:vAlign w:val="center"/>
          </w:tcPr>
          <w:p w14:paraId="0BF38D85">
            <w:pPr>
              <w:pStyle w:val="179"/>
              <w:rPr>
                <w:rFonts w:eastAsia="Times New Roman"/>
              </w:rPr>
            </w:pPr>
            <w:r>
              <w:rPr>
                <w:rFonts w:hint="eastAsia" w:eastAsia="Times New Roman"/>
              </w:rPr>
              <w:t>部分GHG的GWP来源于IPCC《气候变化报告2021:自然科学基础第一工作组对IPCC第六次评估报告的贡献》。</w:t>
            </w:r>
          </w:p>
        </w:tc>
      </w:tr>
    </w:tbl>
    <w:p w14:paraId="3047660D">
      <w:pPr>
        <w:pStyle w:val="56"/>
        <w:ind w:firstLine="420"/>
      </w:pPr>
    </w:p>
    <w:p w14:paraId="3E22D265">
      <w:pPr>
        <w:pStyle w:val="56"/>
        <w:ind w:firstLine="420"/>
      </w:pPr>
    </w:p>
    <w:p w14:paraId="58EE4614">
      <w:pPr>
        <w:pStyle w:val="56"/>
        <w:ind w:firstLine="420"/>
        <w:sectPr>
          <w:pgSz w:w="11906" w:h="16838"/>
          <w:pgMar w:top="1928" w:right="1134" w:bottom="1134" w:left="1134" w:header="1418" w:footer="1134" w:gutter="284"/>
          <w:cols w:space="425" w:num="1"/>
          <w:formProt w:val="0"/>
          <w:docGrid w:linePitch="312" w:charSpace="0"/>
        </w:sectPr>
      </w:pPr>
    </w:p>
    <w:p w14:paraId="480361DB">
      <w:pPr>
        <w:pStyle w:val="198"/>
        <w:rPr>
          <w:rFonts w:hint="eastAsia"/>
          <w:vanish w:val="0"/>
        </w:rPr>
      </w:pPr>
    </w:p>
    <w:p w14:paraId="44CDDA50">
      <w:pPr>
        <w:pStyle w:val="199"/>
        <w:rPr>
          <w:vanish w:val="0"/>
        </w:rPr>
      </w:pPr>
    </w:p>
    <w:p w14:paraId="283CFB0B">
      <w:pPr>
        <w:pStyle w:val="76"/>
        <w:spacing w:after="120"/>
      </w:pPr>
      <w:bookmarkStart w:id="165" w:name="_Toc3804"/>
      <w:r>
        <w:br w:type="textWrapping"/>
      </w:r>
      <w:bookmarkStart w:id="166" w:name="_Toc219754439"/>
      <w:bookmarkStart w:id="167" w:name="_Toc219754403"/>
      <w:r>
        <w:rPr>
          <w:rFonts w:hint="eastAsia"/>
        </w:rPr>
        <w:t>（资料性）</w:t>
      </w:r>
      <w:r>
        <w:br w:type="textWrapping"/>
      </w:r>
      <w:r>
        <w:rPr>
          <w:rFonts w:hint="eastAsia"/>
        </w:rPr>
        <w:t>相关参数推荐值</w:t>
      </w:r>
      <w:bookmarkEnd w:id="165"/>
      <w:bookmarkEnd w:id="166"/>
      <w:bookmarkEnd w:id="167"/>
    </w:p>
    <w:p w14:paraId="46778F84">
      <w:pPr>
        <w:pStyle w:val="78"/>
        <w:spacing w:before="120" w:after="120"/>
      </w:pPr>
      <w:bookmarkStart w:id="168" w:name="_Toc219754440"/>
      <w:bookmarkStart w:id="169" w:name="_Toc219754404"/>
      <w:r>
        <w:rPr>
          <w:rFonts w:hint="eastAsia"/>
        </w:rPr>
        <w:t>原辅材料、能源运输过程碳排放因子</w:t>
      </w:r>
      <w:bookmarkEnd w:id="168"/>
      <w:bookmarkEnd w:id="169"/>
    </w:p>
    <w:p w14:paraId="73C98F78">
      <w:pPr>
        <w:pStyle w:val="56"/>
        <w:ind w:firstLine="420"/>
      </w:pPr>
      <w:r>
        <w:rPr>
          <w:rFonts w:hint="eastAsia"/>
        </w:rPr>
        <w:t>原辅材料、能源运输过程碳排放因子见表E.1。</w:t>
      </w:r>
    </w:p>
    <w:p w14:paraId="1691EA9A">
      <w:pPr>
        <w:pStyle w:val="77"/>
        <w:spacing w:before="120" w:after="120"/>
      </w:pPr>
      <w:r>
        <w:rPr>
          <w:rFonts w:hint="eastAsia"/>
        </w:rPr>
        <w:t>原辅材料、能源运输过程碳排放因子</w:t>
      </w:r>
    </w:p>
    <w:tbl>
      <w:tblPr>
        <w:tblStyle w:val="230"/>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5489"/>
        <w:gridCol w:w="3885"/>
      </w:tblGrid>
      <w:tr w14:paraId="614F24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tcBorders>
              <w:top w:val="single" w:color="000000" w:sz="8" w:space="0"/>
              <w:bottom w:val="single" w:color="000000" w:sz="8" w:space="0"/>
            </w:tcBorders>
            <w:vAlign w:val="center"/>
          </w:tcPr>
          <w:p w14:paraId="76E1E118">
            <w:pPr>
              <w:pStyle w:val="231"/>
              <w:spacing w:line="240" w:lineRule="auto"/>
              <w:jc w:val="center"/>
              <w:rPr>
                <w:rFonts w:eastAsia="Times New Roman" w:cs="Times New Roman"/>
                <w:sz w:val="18"/>
              </w:rPr>
            </w:pPr>
            <w:r>
              <w:rPr>
                <w:rFonts w:hint="eastAsia" w:eastAsia="Times New Roman" w:cs="Times New Roman"/>
                <w:sz w:val="18"/>
              </w:rPr>
              <w:t>运输方式</w:t>
            </w:r>
          </w:p>
        </w:tc>
        <w:tc>
          <w:tcPr>
            <w:tcW w:w="2072" w:type="pct"/>
            <w:tcBorders>
              <w:top w:val="single" w:color="000000" w:sz="8" w:space="0"/>
              <w:bottom w:val="single" w:color="000000" w:sz="8" w:space="0"/>
            </w:tcBorders>
            <w:vAlign w:val="center"/>
          </w:tcPr>
          <w:p w14:paraId="52855D0A">
            <w:pPr>
              <w:pStyle w:val="231"/>
              <w:spacing w:line="240" w:lineRule="auto"/>
              <w:jc w:val="center"/>
              <w:rPr>
                <w:rFonts w:eastAsia="Times New Roman" w:cs="Times New Roman"/>
                <w:sz w:val="18"/>
              </w:rPr>
            </w:pPr>
            <w:r>
              <w:rPr>
                <w:rFonts w:hint="eastAsia" w:eastAsia="Times New Roman" w:cs="Times New Roman"/>
                <w:sz w:val="18"/>
              </w:rPr>
              <w:t>温室气体排放因子</w:t>
            </w:r>
            <w:r>
              <w:rPr>
                <w:rFonts w:ascii="Times New Roman" w:hAnsi="Times New Roman" w:eastAsia="Times New Roman" w:cs="Times New Roman"/>
                <w:sz w:val="18"/>
              </w:rPr>
              <w:t>kgCO₂e/(t·km)</w:t>
            </w:r>
          </w:p>
        </w:tc>
      </w:tr>
      <w:tr w14:paraId="7489F4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tcBorders>
              <w:top w:val="single" w:color="000000" w:sz="8" w:space="0"/>
            </w:tcBorders>
            <w:vAlign w:val="center"/>
          </w:tcPr>
          <w:p w14:paraId="342F4A87">
            <w:pPr>
              <w:pStyle w:val="231"/>
              <w:spacing w:line="240" w:lineRule="auto"/>
              <w:jc w:val="center"/>
              <w:rPr>
                <w:rFonts w:eastAsia="Times New Roman" w:cs="Times New Roman"/>
                <w:sz w:val="18"/>
              </w:rPr>
            </w:pPr>
            <w:r>
              <w:rPr>
                <w:rFonts w:hint="eastAsia" w:eastAsia="Times New Roman" w:cs="Times New Roman"/>
                <w:sz w:val="18"/>
              </w:rPr>
              <w:t>轻型汽油货车运输(载重21)</w:t>
            </w:r>
          </w:p>
        </w:tc>
        <w:tc>
          <w:tcPr>
            <w:tcW w:w="2072" w:type="pct"/>
            <w:tcBorders>
              <w:top w:val="single" w:color="000000" w:sz="8" w:space="0"/>
            </w:tcBorders>
            <w:vAlign w:val="center"/>
          </w:tcPr>
          <w:p w14:paraId="154AE042">
            <w:pPr>
              <w:pStyle w:val="231"/>
              <w:spacing w:line="240" w:lineRule="auto"/>
              <w:jc w:val="center"/>
              <w:rPr>
                <w:rFonts w:eastAsia="Times New Roman" w:cs="Times New Roman"/>
                <w:sz w:val="18"/>
              </w:rPr>
            </w:pPr>
            <w:r>
              <w:rPr>
                <w:rFonts w:hint="eastAsia" w:eastAsia="Times New Roman" w:cs="Times New Roman"/>
                <w:sz w:val="18"/>
              </w:rPr>
              <w:t>0.334</w:t>
            </w:r>
          </w:p>
        </w:tc>
      </w:tr>
      <w:tr w14:paraId="576199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6B825356">
            <w:pPr>
              <w:pStyle w:val="231"/>
              <w:spacing w:line="240" w:lineRule="auto"/>
              <w:jc w:val="center"/>
              <w:rPr>
                <w:rFonts w:eastAsia="Times New Roman" w:cs="Times New Roman"/>
                <w:sz w:val="18"/>
              </w:rPr>
            </w:pPr>
            <w:r>
              <w:rPr>
                <w:rFonts w:hint="eastAsia" w:eastAsia="Times New Roman" w:cs="Times New Roman"/>
                <w:sz w:val="18"/>
              </w:rPr>
              <w:t>中型汽油货车运输(载重8t)</w:t>
            </w:r>
          </w:p>
        </w:tc>
        <w:tc>
          <w:tcPr>
            <w:tcW w:w="2072" w:type="pct"/>
            <w:vAlign w:val="center"/>
          </w:tcPr>
          <w:p w14:paraId="01C400DC">
            <w:pPr>
              <w:pStyle w:val="231"/>
              <w:spacing w:line="240" w:lineRule="auto"/>
              <w:jc w:val="center"/>
              <w:rPr>
                <w:rFonts w:eastAsia="Times New Roman" w:cs="Times New Roman"/>
                <w:sz w:val="18"/>
              </w:rPr>
            </w:pPr>
            <w:r>
              <w:rPr>
                <w:rFonts w:hint="eastAsia" w:eastAsia="Times New Roman" w:cs="Times New Roman"/>
                <w:sz w:val="18"/>
              </w:rPr>
              <w:t>0.115</w:t>
            </w:r>
          </w:p>
        </w:tc>
      </w:tr>
      <w:tr w14:paraId="5F27CD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5652D840">
            <w:pPr>
              <w:pStyle w:val="231"/>
              <w:spacing w:line="240" w:lineRule="auto"/>
              <w:jc w:val="center"/>
              <w:rPr>
                <w:rFonts w:eastAsia="Times New Roman" w:cs="Times New Roman"/>
                <w:sz w:val="18"/>
              </w:rPr>
            </w:pPr>
            <w:r>
              <w:rPr>
                <w:rFonts w:hint="eastAsia" w:eastAsia="Times New Roman" w:cs="Times New Roman"/>
                <w:sz w:val="18"/>
              </w:rPr>
              <w:t>重型汽油货车运输(载重10t)</w:t>
            </w:r>
          </w:p>
        </w:tc>
        <w:tc>
          <w:tcPr>
            <w:tcW w:w="2072" w:type="pct"/>
            <w:vAlign w:val="center"/>
          </w:tcPr>
          <w:p w14:paraId="433EE6C4">
            <w:pPr>
              <w:pStyle w:val="231"/>
              <w:spacing w:line="240" w:lineRule="auto"/>
              <w:jc w:val="center"/>
              <w:rPr>
                <w:rFonts w:eastAsia="Times New Roman" w:cs="Times New Roman"/>
                <w:sz w:val="18"/>
              </w:rPr>
            </w:pPr>
            <w:r>
              <w:rPr>
                <w:rFonts w:hint="eastAsia" w:eastAsia="Times New Roman" w:cs="Times New Roman"/>
                <w:sz w:val="18"/>
              </w:rPr>
              <w:t>0.104</w:t>
            </w:r>
          </w:p>
        </w:tc>
      </w:tr>
      <w:tr w14:paraId="5F5EC7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14F1B853">
            <w:pPr>
              <w:pStyle w:val="231"/>
              <w:spacing w:line="240" w:lineRule="auto"/>
              <w:jc w:val="center"/>
              <w:rPr>
                <w:rFonts w:eastAsia="Times New Roman" w:cs="Times New Roman"/>
                <w:sz w:val="18"/>
              </w:rPr>
            </w:pPr>
            <w:r>
              <w:rPr>
                <w:rFonts w:hint="eastAsia" w:eastAsia="Times New Roman" w:cs="Times New Roman"/>
                <w:sz w:val="18"/>
              </w:rPr>
              <w:t>重型汽油货车运输(载重18t)</w:t>
            </w:r>
          </w:p>
        </w:tc>
        <w:tc>
          <w:tcPr>
            <w:tcW w:w="2072" w:type="pct"/>
            <w:vAlign w:val="center"/>
          </w:tcPr>
          <w:p w14:paraId="18390AC4">
            <w:pPr>
              <w:pStyle w:val="231"/>
              <w:spacing w:line="240" w:lineRule="auto"/>
              <w:jc w:val="center"/>
              <w:rPr>
                <w:rFonts w:eastAsia="Times New Roman" w:cs="Times New Roman"/>
                <w:sz w:val="18"/>
              </w:rPr>
            </w:pPr>
            <w:r>
              <w:rPr>
                <w:rFonts w:hint="eastAsia" w:eastAsia="Times New Roman" w:cs="Times New Roman"/>
                <w:sz w:val="18"/>
              </w:rPr>
              <w:t>0.104</w:t>
            </w:r>
          </w:p>
        </w:tc>
      </w:tr>
      <w:tr w14:paraId="6BA174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52068932">
            <w:pPr>
              <w:pStyle w:val="231"/>
              <w:spacing w:line="240" w:lineRule="auto"/>
              <w:jc w:val="center"/>
              <w:rPr>
                <w:rFonts w:eastAsia="Times New Roman" w:cs="Times New Roman"/>
                <w:sz w:val="18"/>
              </w:rPr>
            </w:pPr>
            <w:r>
              <w:rPr>
                <w:rFonts w:hint="eastAsia" w:eastAsia="Times New Roman" w:cs="Times New Roman"/>
                <w:sz w:val="18"/>
              </w:rPr>
              <w:t>轻型柴油货车运输(载重2t)</w:t>
            </w:r>
          </w:p>
        </w:tc>
        <w:tc>
          <w:tcPr>
            <w:tcW w:w="2072" w:type="pct"/>
            <w:vAlign w:val="center"/>
          </w:tcPr>
          <w:p w14:paraId="5FCA36B4">
            <w:pPr>
              <w:pStyle w:val="231"/>
              <w:spacing w:line="240" w:lineRule="auto"/>
              <w:jc w:val="center"/>
              <w:rPr>
                <w:rFonts w:eastAsia="Times New Roman" w:cs="Times New Roman"/>
                <w:sz w:val="18"/>
              </w:rPr>
            </w:pPr>
            <w:r>
              <w:rPr>
                <w:rFonts w:hint="eastAsia" w:eastAsia="Times New Roman" w:cs="Times New Roman"/>
                <w:sz w:val="18"/>
              </w:rPr>
              <w:t>0.286</w:t>
            </w:r>
          </w:p>
        </w:tc>
      </w:tr>
      <w:tr w14:paraId="4021F3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2C05F028">
            <w:pPr>
              <w:pStyle w:val="231"/>
              <w:spacing w:line="240" w:lineRule="auto"/>
              <w:jc w:val="center"/>
              <w:rPr>
                <w:rFonts w:eastAsia="Times New Roman" w:cs="Times New Roman"/>
                <w:sz w:val="18"/>
              </w:rPr>
            </w:pPr>
            <w:r>
              <w:rPr>
                <w:rFonts w:hint="eastAsia" w:eastAsia="Times New Roman" w:cs="Times New Roman"/>
                <w:sz w:val="18"/>
              </w:rPr>
              <w:t>中型柴油货车运输(载重8t)</w:t>
            </w:r>
          </w:p>
        </w:tc>
        <w:tc>
          <w:tcPr>
            <w:tcW w:w="2072" w:type="pct"/>
            <w:vAlign w:val="center"/>
          </w:tcPr>
          <w:p w14:paraId="7ADB0A2A">
            <w:pPr>
              <w:pStyle w:val="231"/>
              <w:spacing w:line="240" w:lineRule="auto"/>
              <w:jc w:val="center"/>
              <w:rPr>
                <w:rFonts w:eastAsia="Times New Roman" w:cs="Times New Roman"/>
                <w:sz w:val="18"/>
              </w:rPr>
            </w:pPr>
            <w:r>
              <w:rPr>
                <w:rFonts w:hint="eastAsia" w:eastAsia="Times New Roman" w:cs="Times New Roman"/>
                <w:sz w:val="18"/>
              </w:rPr>
              <w:t>0.179</w:t>
            </w:r>
          </w:p>
        </w:tc>
      </w:tr>
      <w:tr w14:paraId="2C8562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71772FFD">
            <w:pPr>
              <w:pStyle w:val="231"/>
              <w:spacing w:line="240" w:lineRule="auto"/>
              <w:jc w:val="center"/>
              <w:rPr>
                <w:rFonts w:eastAsia="Times New Roman" w:cs="Times New Roman"/>
                <w:sz w:val="18"/>
              </w:rPr>
            </w:pPr>
            <w:r>
              <w:rPr>
                <w:rFonts w:hint="eastAsia" w:eastAsia="Times New Roman" w:cs="Times New Roman"/>
                <w:sz w:val="18"/>
              </w:rPr>
              <w:t>重型柴油货车运输(载重10t)</w:t>
            </w:r>
          </w:p>
        </w:tc>
        <w:tc>
          <w:tcPr>
            <w:tcW w:w="2072" w:type="pct"/>
            <w:vAlign w:val="center"/>
          </w:tcPr>
          <w:p w14:paraId="0478E211">
            <w:pPr>
              <w:pStyle w:val="231"/>
              <w:spacing w:line="240" w:lineRule="auto"/>
              <w:jc w:val="center"/>
              <w:rPr>
                <w:rFonts w:eastAsia="Times New Roman" w:cs="Times New Roman"/>
                <w:sz w:val="18"/>
              </w:rPr>
            </w:pPr>
            <w:r>
              <w:rPr>
                <w:rFonts w:hint="eastAsia" w:eastAsia="Times New Roman" w:cs="Times New Roman"/>
                <w:sz w:val="18"/>
              </w:rPr>
              <w:t>0.162</w:t>
            </w:r>
          </w:p>
        </w:tc>
      </w:tr>
      <w:tr w14:paraId="0CDA8A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140F1EDC">
            <w:pPr>
              <w:pStyle w:val="231"/>
              <w:spacing w:line="240" w:lineRule="auto"/>
              <w:jc w:val="center"/>
              <w:rPr>
                <w:rFonts w:eastAsia="Times New Roman" w:cs="Times New Roman"/>
                <w:sz w:val="18"/>
              </w:rPr>
            </w:pPr>
            <w:r>
              <w:rPr>
                <w:rFonts w:hint="eastAsia" w:eastAsia="Times New Roman" w:cs="Times New Roman"/>
                <w:sz w:val="18"/>
              </w:rPr>
              <w:t>重型柴油货车运输(载重18t)</w:t>
            </w:r>
          </w:p>
        </w:tc>
        <w:tc>
          <w:tcPr>
            <w:tcW w:w="2072" w:type="pct"/>
            <w:vAlign w:val="center"/>
          </w:tcPr>
          <w:p w14:paraId="231F8FC0">
            <w:pPr>
              <w:pStyle w:val="231"/>
              <w:spacing w:line="240" w:lineRule="auto"/>
              <w:jc w:val="center"/>
              <w:rPr>
                <w:rFonts w:eastAsia="Times New Roman" w:cs="Times New Roman"/>
                <w:sz w:val="18"/>
              </w:rPr>
            </w:pPr>
            <w:r>
              <w:rPr>
                <w:rFonts w:hint="eastAsia" w:eastAsia="Times New Roman" w:cs="Times New Roman"/>
                <w:sz w:val="18"/>
              </w:rPr>
              <w:t>0.129</w:t>
            </w:r>
          </w:p>
        </w:tc>
      </w:tr>
      <w:tr w14:paraId="5E878A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3702EA5E">
            <w:pPr>
              <w:pStyle w:val="231"/>
              <w:spacing w:line="240" w:lineRule="auto"/>
              <w:jc w:val="center"/>
              <w:rPr>
                <w:rFonts w:eastAsia="Times New Roman" w:cs="Times New Roman"/>
                <w:sz w:val="18"/>
              </w:rPr>
            </w:pPr>
            <w:r>
              <w:rPr>
                <w:rFonts w:hint="eastAsia" w:eastAsia="Times New Roman" w:cs="Times New Roman"/>
                <w:sz w:val="18"/>
              </w:rPr>
              <w:t>重型柴油货车运输(载重30t)</w:t>
            </w:r>
          </w:p>
        </w:tc>
        <w:tc>
          <w:tcPr>
            <w:tcW w:w="2072" w:type="pct"/>
            <w:vAlign w:val="center"/>
          </w:tcPr>
          <w:p w14:paraId="05E5DE23">
            <w:pPr>
              <w:pStyle w:val="231"/>
              <w:spacing w:line="240" w:lineRule="auto"/>
              <w:jc w:val="center"/>
              <w:rPr>
                <w:rFonts w:eastAsia="Times New Roman" w:cs="Times New Roman"/>
                <w:sz w:val="18"/>
              </w:rPr>
            </w:pPr>
            <w:r>
              <w:rPr>
                <w:rFonts w:hint="eastAsia" w:eastAsia="Times New Roman" w:cs="Times New Roman"/>
                <w:sz w:val="18"/>
              </w:rPr>
              <w:t>0.078</w:t>
            </w:r>
          </w:p>
        </w:tc>
      </w:tr>
      <w:tr w14:paraId="0F0CB8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10E6B87F">
            <w:pPr>
              <w:pStyle w:val="231"/>
              <w:spacing w:line="240" w:lineRule="auto"/>
              <w:jc w:val="center"/>
              <w:rPr>
                <w:rFonts w:eastAsia="Times New Roman" w:cs="Times New Roman"/>
                <w:sz w:val="18"/>
              </w:rPr>
            </w:pPr>
            <w:r>
              <w:rPr>
                <w:rFonts w:hint="eastAsia" w:eastAsia="Times New Roman" w:cs="Times New Roman"/>
                <w:sz w:val="18"/>
              </w:rPr>
              <w:t>重型柴油货车运输(载重46t)</w:t>
            </w:r>
          </w:p>
        </w:tc>
        <w:tc>
          <w:tcPr>
            <w:tcW w:w="2072" w:type="pct"/>
            <w:vAlign w:val="center"/>
          </w:tcPr>
          <w:p w14:paraId="7E4097CE">
            <w:pPr>
              <w:pStyle w:val="231"/>
              <w:spacing w:line="240" w:lineRule="auto"/>
              <w:jc w:val="center"/>
              <w:rPr>
                <w:rFonts w:eastAsia="Times New Roman" w:cs="Times New Roman"/>
                <w:sz w:val="18"/>
              </w:rPr>
            </w:pPr>
            <w:r>
              <w:rPr>
                <w:rFonts w:hint="eastAsia" w:eastAsia="Times New Roman" w:cs="Times New Roman"/>
                <w:sz w:val="18"/>
              </w:rPr>
              <w:t>0.057</w:t>
            </w:r>
          </w:p>
        </w:tc>
      </w:tr>
      <w:tr w14:paraId="784CED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760D862B">
            <w:pPr>
              <w:pStyle w:val="231"/>
              <w:spacing w:line="240" w:lineRule="auto"/>
              <w:jc w:val="center"/>
              <w:rPr>
                <w:rFonts w:eastAsia="Times New Roman" w:cs="Times New Roman"/>
                <w:sz w:val="18"/>
              </w:rPr>
            </w:pPr>
            <w:r>
              <w:rPr>
                <w:rFonts w:hint="eastAsia" w:eastAsia="Times New Roman" w:cs="Times New Roman"/>
                <w:sz w:val="18"/>
              </w:rPr>
              <w:t>电力机车运输</w:t>
            </w:r>
          </w:p>
        </w:tc>
        <w:tc>
          <w:tcPr>
            <w:tcW w:w="2072" w:type="pct"/>
            <w:vAlign w:val="center"/>
          </w:tcPr>
          <w:p w14:paraId="7FE110C2">
            <w:pPr>
              <w:pStyle w:val="231"/>
              <w:spacing w:line="240" w:lineRule="auto"/>
              <w:jc w:val="center"/>
              <w:rPr>
                <w:rFonts w:eastAsia="Times New Roman" w:cs="Times New Roman"/>
                <w:sz w:val="18"/>
              </w:rPr>
            </w:pPr>
            <w:r>
              <w:rPr>
                <w:rFonts w:hint="eastAsia" w:eastAsia="Times New Roman" w:cs="Times New Roman"/>
                <w:sz w:val="18"/>
              </w:rPr>
              <w:t>0.010</w:t>
            </w:r>
          </w:p>
        </w:tc>
      </w:tr>
      <w:tr w14:paraId="0765FF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3A3EEC56">
            <w:pPr>
              <w:pStyle w:val="231"/>
              <w:spacing w:line="240" w:lineRule="auto"/>
              <w:jc w:val="center"/>
              <w:rPr>
                <w:rFonts w:eastAsia="Times New Roman" w:cs="Times New Roman"/>
                <w:sz w:val="18"/>
              </w:rPr>
            </w:pPr>
            <w:r>
              <w:rPr>
                <w:rFonts w:hint="eastAsia" w:eastAsia="Times New Roman" w:cs="Times New Roman"/>
                <w:sz w:val="18"/>
              </w:rPr>
              <w:t>内燃机车运输</w:t>
            </w:r>
          </w:p>
        </w:tc>
        <w:tc>
          <w:tcPr>
            <w:tcW w:w="2072" w:type="pct"/>
            <w:vAlign w:val="center"/>
          </w:tcPr>
          <w:p w14:paraId="1AFD6DB2">
            <w:pPr>
              <w:pStyle w:val="231"/>
              <w:spacing w:line="240" w:lineRule="auto"/>
              <w:jc w:val="center"/>
              <w:rPr>
                <w:rFonts w:eastAsia="Times New Roman" w:cs="Times New Roman"/>
                <w:sz w:val="18"/>
              </w:rPr>
            </w:pPr>
            <w:r>
              <w:rPr>
                <w:rFonts w:hint="eastAsia" w:eastAsia="Times New Roman" w:cs="Times New Roman"/>
                <w:sz w:val="18"/>
              </w:rPr>
              <w:t>0.011</w:t>
            </w:r>
          </w:p>
        </w:tc>
      </w:tr>
      <w:tr w14:paraId="5A9BBB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6F193FFB">
            <w:pPr>
              <w:pStyle w:val="231"/>
              <w:spacing w:line="240" w:lineRule="auto"/>
              <w:jc w:val="center"/>
              <w:rPr>
                <w:rFonts w:eastAsia="Times New Roman" w:cs="Times New Roman"/>
                <w:sz w:val="18"/>
              </w:rPr>
            </w:pPr>
            <w:r>
              <w:rPr>
                <w:rFonts w:hint="eastAsia" w:eastAsia="Times New Roman" w:cs="Times New Roman"/>
                <w:sz w:val="18"/>
              </w:rPr>
              <w:t>铁路运输</w:t>
            </w:r>
          </w:p>
        </w:tc>
        <w:tc>
          <w:tcPr>
            <w:tcW w:w="2072" w:type="pct"/>
            <w:vAlign w:val="center"/>
          </w:tcPr>
          <w:p w14:paraId="36B86231">
            <w:pPr>
              <w:pStyle w:val="231"/>
              <w:spacing w:line="240" w:lineRule="auto"/>
              <w:jc w:val="center"/>
              <w:rPr>
                <w:rFonts w:eastAsia="Times New Roman" w:cs="Times New Roman"/>
                <w:sz w:val="18"/>
              </w:rPr>
            </w:pPr>
            <w:r>
              <w:rPr>
                <w:rFonts w:hint="eastAsia" w:eastAsia="Times New Roman" w:cs="Times New Roman"/>
                <w:sz w:val="18"/>
              </w:rPr>
              <w:t>0.010</w:t>
            </w:r>
          </w:p>
        </w:tc>
      </w:tr>
      <w:tr w14:paraId="1F49EA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237EBFAB">
            <w:pPr>
              <w:pStyle w:val="231"/>
              <w:spacing w:line="240" w:lineRule="auto"/>
              <w:jc w:val="center"/>
              <w:rPr>
                <w:rFonts w:eastAsia="Times New Roman" w:cs="Times New Roman"/>
                <w:sz w:val="18"/>
              </w:rPr>
            </w:pPr>
            <w:r>
              <w:rPr>
                <w:rFonts w:hint="eastAsia" w:eastAsia="Times New Roman" w:cs="Times New Roman"/>
                <w:sz w:val="18"/>
              </w:rPr>
              <w:t>液货船运输(载重2000t)</w:t>
            </w:r>
          </w:p>
        </w:tc>
        <w:tc>
          <w:tcPr>
            <w:tcW w:w="2072" w:type="pct"/>
            <w:vAlign w:val="center"/>
          </w:tcPr>
          <w:p w14:paraId="508BD3D1">
            <w:pPr>
              <w:pStyle w:val="231"/>
              <w:spacing w:line="240" w:lineRule="auto"/>
              <w:jc w:val="center"/>
              <w:rPr>
                <w:rFonts w:eastAsia="Times New Roman" w:cs="Times New Roman"/>
                <w:sz w:val="18"/>
              </w:rPr>
            </w:pPr>
            <w:r>
              <w:rPr>
                <w:rFonts w:hint="eastAsia" w:eastAsia="Times New Roman" w:cs="Times New Roman"/>
                <w:sz w:val="18"/>
              </w:rPr>
              <w:t>0.019</w:t>
            </w:r>
          </w:p>
        </w:tc>
      </w:tr>
      <w:tr w14:paraId="29840A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71C2315C">
            <w:pPr>
              <w:pStyle w:val="231"/>
              <w:spacing w:line="240" w:lineRule="auto"/>
              <w:jc w:val="center"/>
              <w:rPr>
                <w:rFonts w:eastAsia="Times New Roman" w:cs="Times New Roman"/>
                <w:sz w:val="18"/>
              </w:rPr>
            </w:pPr>
            <w:r>
              <w:rPr>
                <w:rFonts w:hint="eastAsia" w:eastAsia="Times New Roman" w:cs="Times New Roman"/>
                <w:sz w:val="18"/>
              </w:rPr>
              <w:t>干散货船运输(载重2500t)</w:t>
            </w:r>
          </w:p>
        </w:tc>
        <w:tc>
          <w:tcPr>
            <w:tcW w:w="2072" w:type="pct"/>
            <w:vAlign w:val="center"/>
          </w:tcPr>
          <w:p w14:paraId="41EC83AB">
            <w:pPr>
              <w:pStyle w:val="231"/>
              <w:spacing w:line="240" w:lineRule="auto"/>
              <w:jc w:val="center"/>
              <w:rPr>
                <w:rFonts w:eastAsia="Times New Roman" w:cs="Times New Roman"/>
                <w:sz w:val="18"/>
              </w:rPr>
            </w:pPr>
            <w:r>
              <w:rPr>
                <w:rFonts w:hint="eastAsia" w:eastAsia="Times New Roman" w:cs="Times New Roman"/>
                <w:sz w:val="18"/>
              </w:rPr>
              <w:t>0.015</w:t>
            </w:r>
          </w:p>
        </w:tc>
      </w:tr>
      <w:tr w14:paraId="40B96F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928" w:type="pct"/>
            <w:vAlign w:val="center"/>
          </w:tcPr>
          <w:p w14:paraId="499A09E7">
            <w:pPr>
              <w:pStyle w:val="231"/>
              <w:spacing w:line="240" w:lineRule="auto"/>
              <w:jc w:val="center"/>
              <w:rPr>
                <w:rFonts w:eastAsia="Times New Roman" w:cs="Times New Roman"/>
                <w:sz w:val="18"/>
              </w:rPr>
            </w:pPr>
            <w:r>
              <w:rPr>
                <w:rFonts w:hint="eastAsia" w:eastAsia="Times New Roman" w:cs="Times New Roman"/>
                <w:sz w:val="18"/>
              </w:rPr>
              <w:t>集装箱船运输(载重200TEU)</w:t>
            </w:r>
          </w:p>
        </w:tc>
        <w:tc>
          <w:tcPr>
            <w:tcW w:w="2072" w:type="pct"/>
            <w:vAlign w:val="center"/>
          </w:tcPr>
          <w:p w14:paraId="357ABD35">
            <w:pPr>
              <w:pStyle w:val="231"/>
              <w:spacing w:line="240" w:lineRule="auto"/>
              <w:jc w:val="center"/>
              <w:rPr>
                <w:rFonts w:eastAsia="Times New Roman" w:cs="Times New Roman"/>
                <w:sz w:val="18"/>
              </w:rPr>
            </w:pPr>
            <w:r>
              <w:rPr>
                <w:rFonts w:hint="eastAsia" w:eastAsia="Times New Roman" w:cs="Times New Roman"/>
                <w:sz w:val="18"/>
              </w:rPr>
              <w:t>0.012</w:t>
            </w:r>
          </w:p>
        </w:tc>
      </w:tr>
      <w:tr w14:paraId="04BA5C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5000" w:type="pct"/>
            <w:gridSpan w:val="2"/>
            <w:tcBorders>
              <w:top w:val="single" w:color="000000" w:sz="8" w:space="0"/>
              <w:bottom w:val="single" w:color="000000" w:sz="8" w:space="0"/>
            </w:tcBorders>
            <w:vAlign w:val="center"/>
          </w:tcPr>
          <w:p w14:paraId="24F2768A">
            <w:pPr>
              <w:pStyle w:val="179"/>
              <w:rPr>
                <w:rFonts w:eastAsia="Times New Roman"/>
              </w:rPr>
            </w:pPr>
            <w:r>
              <w:rPr>
                <w:rFonts w:hint="eastAsia" w:eastAsia="Times New Roman"/>
              </w:rPr>
              <w:t>数据来源于GB/T 51366—2019。</w:t>
            </w:r>
          </w:p>
        </w:tc>
      </w:tr>
    </w:tbl>
    <w:p w14:paraId="7C7F834B">
      <w:pPr>
        <w:pStyle w:val="78"/>
        <w:spacing w:before="120" w:after="120"/>
      </w:pPr>
      <w:bookmarkStart w:id="170" w:name="_Toc219754441"/>
      <w:bookmarkStart w:id="171" w:name="_Toc219754405"/>
      <w:r>
        <w:rPr>
          <w:rFonts w:hint="eastAsia"/>
        </w:rPr>
        <w:t>化石燃料相关参数参考值</w:t>
      </w:r>
      <w:bookmarkEnd w:id="170"/>
      <w:bookmarkEnd w:id="171"/>
    </w:p>
    <w:p w14:paraId="42DCBE0C">
      <w:pPr>
        <w:pStyle w:val="56"/>
        <w:ind w:firstLine="420"/>
      </w:pPr>
      <w:r>
        <w:rPr>
          <w:rFonts w:hint="eastAsia"/>
        </w:rPr>
        <w:t>常用化石燃料相关参数参考值见表E.2。</w:t>
      </w:r>
    </w:p>
    <w:p w14:paraId="2973981F">
      <w:pPr>
        <w:pStyle w:val="77"/>
        <w:spacing w:before="120" w:after="120"/>
      </w:pPr>
      <w:r>
        <w:rPr>
          <w:rFonts w:hint="eastAsia"/>
        </w:rPr>
        <w:t>常用化石燃料相关参数参考值</w:t>
      </w:r>
    </w:p>
    <w:tbl>
      <w:tblPr>
        <w:tblStyle w:val="2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39"/>
        <w:gridCol w:w="1444"/>
        <w:gridCol w:w="1116"/>
        <w:gridCol w:w="2152"/>
        <w:gridCol w:w="2156"/>
        <w:gridCol w:w="1567"/>
      </w:tblGrid>
      <w:tr w14:paraId="74CE1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1271" w:type="pct"/>
            <w:gridSpan w:val="2"/>
            <w:tcBorders>
              <w:top w:val="single" w:color="auto" w:sz="8" w:space="0"/>
              <w:left w:val="single" w:color="auto" w:sz="8" w:space="0"/>
              <w:bottom w:val="single" w:color="auto" w:sz="4" w:space="0"/>
              <w:right w:val="single" w:color="auto" w:sz="4" w:space="0"/>
            </w:tcBorders>
            <w:vAlign w:val="center"/>
          </w:tcPr>
          <w:p w14:paraId="529F94DC">
            <w:pPr>
              <w:pStyle w:val="231"/>
              <w:spacing w:line="240" w:lineRule="auto"/>
              <w:jc w:val="center"/>
              <w:rPr>
                <w:rFonts w:ascii="Times New Roman" w:hAnsi="Times New Roman" w:eastAsia="Times New Roman" w:cs="Times New Roman"/>
              </w:rPr>
            </w:pPr>
            <w:r>
              <w:rPr>
                <w:rFonts w:eastAsia="Times New Roman" w:cs="Times New Roman"/>
              </w:rPr>
              <w:t>燃料品种</w:t>
            </w:r>
          </w:p>
        </w:tc>
        <w:tc>
          <w:tcPr>
            <w:tcW w:w="595" w:type="pct"/>
            <w:tcBorders>
              <w:top w:val="single" w:color="auto" w:sz="8" w:space="0"/>
              <w:left w:val="single" w:color="auto" w:sz="4" w:space="0"/>
              <w:bottom w:val="single" w:color="auto" w:sz="4" w:space="0"/>
              <w:right w:val="single" w:color="auto" w:sz="4" w:space="0"/>
            </w:tcBorders>
            <w:vAlign w:val="center"/>
          </w:tcPr>
          <w:p w14:paraId="4F1E8D38">
            <w:pPr>
              <w:pStyle w:val="231"/>
              <w:spacing w:line="240" w:lineRule="auto"/>
              <w:jc w:val="center"/>
              <w:rPr>
                <w:rFonts w:ascii="Times New Roman" w:hAnsi="Times New Roman" w:eastAsia="Times New Roman" w:cs="Times New Roman"/>
              </w:rPr>
            </w:pPr>
            <w:r>
              <w:rPr>
                <w:rFonts w:eastAsia="Times New Roman" w:cs="Times New Roman"/>
              </w:rPr>
              <w:t>计量单位</w:t>
            </w:r>
          </w:p>
        </w:tc>
        <w:tc>
          <w:tcPr>
            <w:tcW w:w="1148" w:type="pct"/>
            <w:tcBorders>
              <w:top w:val="single" w:color="auto" w:sz="8" w:space="0"/>
              <w:left w:val="single" w:color="auto" w:sz="4" w:space="0"/>
              <w:bottom w:val="single" w:color="auto" w:sz="4" w:space="0"/>
              <w:right w:val="single" w:color="auto" w:sz="4" w:space="0"/>
            </w:tcBorders>
            <w:vAlign w:val="center"/>
          </w:tcPr>
          <w:p w14:paraId="621C7A41">
            <w:pPr>
              <w:pStyle w:val="231"/>
              <w:spacing w:line="240" w:lineRule="auto"/>
              <w:jc w:val="center"/>
              <w:rPr>
                <w:rFonts w:ascii="Times New Roman" w:hAnsi="Times New Roman" w:eastAsia="Times New Roman" w:cs="Times New Roman"/>
              </w:rPr>
            </w:pPr>
            <w:r>
              <w:rPr>
                <w:rFonts w:eastAsia="Times New Roman" w:cs="Times New Roman"/>
              </w:rPr>
              <w:t>低位发热量</w:t>
            </w:r>
            <w:r>
              <w:rPr>
                <w:rFonts w:ascii="Times New Roman" w:hAnsi="Times New Roman" w:eastAsia="Times New Roman" w:cs="Times New Roman"/>
              </w:rPr>
              <w:t>/(GJ/t,GJ/10⁴Nm³)</w:t>
            </w:r>
          </w:p>
        </w:tc>
        <w:tc>
          <w:tcPr>
            <w:tcW w:w="1150" w:type="pct"/>
            <w:tcBorders>
              <w:top w:val="single" w:color="auto" w:sz="8" w:space="0"/>
              <w:left w:val="single" w:color="auto" w:sz="4" w:space="0"/>
              <w:bottom w:val="single" w:color="auto" w:sz="4" w:space="0"/>
              <w:right w:val="single" w:color="auto" w:sz="4" w:space="0"/>
            </w:tcBorders>
            <w:vAlign w:val="center"/>
          </w:tcPr>
          <w:p w14:paraId="798AF271">
            <w:pPr>
              <w:pStyle w:val="231"/>
              <w:spacing w:line="240" w:lineRule="auto"/>
              <w:jc w:val="center"/>
              <w:rPr>
                <w:rFonts w:ascii="Times New Roman" w:hAnsi="Times New Roman" w:eastAsia="Times New Roman" w:cs="Times New Roman"/>
              </w:rPr>
            </w:pPr>
            <w:r>
              <w:rPr>
                <w:rFonts w:eastAsia="Times New Roman" w:cs="Times New Roman"/>
              </w:rPr>
              <w:t>单位热值含碳量</w:t>
            </w:r>
            <w:r>
              <w:rPr>
                <w:rFonts w:ascii="Times New Roman" w:hAnsi="Times New Roman" w:eastAsia="Times New Roman" w:cs="Times New Roman"/>
              </w:rPr>
              <w:t>/(tC/TJ)</w:t>
            </w:r>
          </w:p>
        </w:tc>
        <w:tc>
          <w:tcPr>
            <w:tcW w:w="836" w:type="pct"/>
            <w:tcBorders>
              <w:top w:val="single" w:color="auto" w:sz="8" w:space="0"/>
              <w:left w:val="single" w:color="auto" w:sz="4" w:space="0"/>
              <w:bottom w:val="single" w:color="auto" w:sz="4" w:space="0"/>
              <w:right w:val="single" w:color="auto" w:sz="8" w:space="0"/>
            </w:tcBorders>
            <w:vAlign w:val="center"/>
          </w:tcPr>
          <w:p w14:paraId="6283C94B">
            <w:pPr>
              <w:pStyle w:val="231"/>
              <w:spacing w:line="240" w:lineRule="auto"/>
              <w:jc w:val="center"/>
              <w:rPr>
                <w:rFonts w:ascii="Times New Roman" w:hAnsi="Times New Roman" w:eastAsia="Times New Roman" w:cs="Times New Roman"/>
              </w:rPr>
            </w:pPr>
            <w:r>
              <w:rPr>
                <w:rFonts w:eastAsia="Times New Roman" w:cs="Times New Roman"/>
              </w:rPr>
              <w:t>燃料碳氧化率</w:t>
            </w:r>
          </w:p>
        </w:tc>
      </w:tr>
      <w:tr w14:paraId="5F5D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restart"/>
            <w:tcBorders>
              <w:top w:val="nil"/>
              <w:left w:val="single" w:color="auto" w:sz="8" w:space="0"/>
              <w:bottom w:val="single" w:color="auto" w:sz="4" w:space="0"/>
              <w:right w:val="single" w:color="auto" w:sz="4" w:space="0"/>
            </w:tcBorders>
            <w:vAlign w:val="center"/>
          </w:tcPr>
          <w:p w14:paraId="22ADC2F1">
            <w:pPr>
              <w:pStyle w:val="231"/>
              <w:spacing w:line="240" w:lineRule="auto"/>
              <w:jc w:val="center"/>
              <w:rPr>
                <w:rFonts w:ascii="Times New Roman" w:hAnsi="Times New Roman" w:eastAsia="Times New Roman" w:cs="Times New Roman"/>
              </w:rPr>
            </w:pPr>
            <w:r>
              <w:rPr>
                <w:rFonts w:eastAsia="Times New Roman" w:cs="Times New Roman"/>
              </w:rPr>
              <w:t>固体燃料</w:t>
            </w:r>
          </w:p>
        </w:tc>
        <w:tc>
          <w:tcPr>
            <w:tcW w:w="770" w:type="pct"/>
            <w:tcBorders>
              <w:top w:val="single" w:color="auto" w:sz="4" w:space="0"/>
              <w:left w:val="single" w:color="auto" w:sz="4" w:space="0"/>
              <w:bottom w:val="single" w:color="auto" w:sz="4" w:space="0"/>
              <w:right w:val="single" w:color="auto" w:sz="4" w:space="0"/>
            </w:tcBorders>
            <w:vAlign w:val="center"/>
          </w:tcPr>
          <w:p w14:paraId="7F1C5A9C">
            <w:pPr>
              <w:pStyle w:val="231"/>
              <w:spacing w:line="240" w:lineRule="auto"/>
              <w:jc w:val="center"/>
              <w:rPr>
                <w:rFonts w:ascii="Times New Roman" w:hAnsi="Times New Roman" w:eastAsia="Times New Roman" w:cs="Times New Roman"/>
              </w:rPr>
            </w:pPr>
            <w:r>
              <w:rPr>
                <w:rFonts w:eastAsia="Times New Roman" w:cs="Times New Roman"/>
              </w:rPr>
              <w:t>无烟煤</w:t>
            </w:r>
          </w:p>
        </w:tc>
        <w:tc>
          <w:tcPr>
            <w:tcW w:w="595" w:type="pct"/>
            <w:tcBorders>
              <w:top w:val="single" w:color="auto" w:sz="4" w:space="0"/>
              <w:left w:val="single" w:color="auto" w:sz="4" w:space="0"/>
              <w:bottom w:val="single" w:color="auto" w:sz="4" w:space="0"/>
              <w:right w:val="single" w:color="auto" w:sz="4" w:space="0"/>
            </w:tcBorders>
            <w:vAlign w:val="center"/>
          </w:tcPr>
          <w:p w14:paraId="7DCD0250">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3CDEA9C7">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26.7</w:t>
            </w:r>
          </w:p>
        </w:tc>
        <w:tc>
          <w:tcPr>
            <w:tcW w:w="1150" w:type="pct"/>
            <w:tcBorders>
              <w:top w:val="single" w:color="auto" w:sz="4" w:space="0"/>
              <w:left w:val="single" w:color="auto" w:sz="4" w:space="0"/>
              <w:bottom w:val="single" w:color="auto" w:sz="4" w:space="0"/>
              <w:right w:val="single" w:color="auto" w:sz="4" w:space="0"/>
            </w:tcBorders>
            <w:vAlign w:val="center"/>
          </w:tcPr>
          <w:p w14:paraId="452414BB">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27.4</w:t>
            </w:r>
          </w:p>
        </w:tc>
        <w:tc>
          <w:tcPr>
            <w:tcW w:w="836" w:type="pct"/>
            <w:tcBorders>
              <w:top w:val="single" w:color="auto" w:sz="4" w:space="0"/>
              <w:left w:val="single" w:color="auto" w:sz="4" w:space="0"/>
              <w:bottom w:val="single" w:color="auto" w:sz="4" w:space="0"/>
              <w:right w:val="single" w:color="auto" w:sz="8" w:space="0"/>
            </w:tcBorders>
            <w:vAlign w:val="center"/>
          </w:tcPr>
          <w:p w14:paraId="143C10D2">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94%</w:t>
            </w:r>
          </w:p>
        </w:tc>
      </w:tr>
      <w:tr w14:paraId="3C133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32992B00">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39135B2B">
            <w:pPr>
              <w:pStyle w:val="231"/>
              <w:spacing w:line="240" w:lineRule="auto"/>
              <w:jc w:val="center"/>
              <w:rPr>
                <w:rFonts w:ascii="Times New Roman" w:hAnsi="Times New Roman" w:eastAsia="Times New Roman" w:cs="Times New Roman"/>
              </w:rPr>
            </w:pPr>
            <w:r>
              <w:rPr>
                <w:rFonts w:eastAsia="Times New Roman" w:cs="Times New Roman"/>
              </w:rPr>
              <w:t>烟煤</w:t>
            </w:r>
          </w:p>
        </w:tc>
        <w:tc>
          <w:tcPr>
            <w:tcW w:w="595" w:type="pct"/>
            <w:tcBorders>
              <w:top w:val="single" w:color="auto" w:sz="4" w:space="0"/>
              <w:left w:val="single" w:color="auto" w:sz="4" w:space="0"/>
              <w:bottom w:val="single" w:color="auto" w:sz="4" w:space="0"/>
              <w:right w:val="single" w:color="auto" w:sz="4" w:space="0"/>
            </w:tcBorders>
            <w:vAlign w:val="center"/>
          </w:tcPr>
          <w:p w14:paraId="369D54FE">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4CD25BFB">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23.736</w:t>
            </w:r>
          </w:p>
        </w:tc>
        <w:tc>
          <w:tcPr>
            <w:tcW w:w="1150" w:type="pct"/>
            <w:tcBorders>
              <w:top w:val="single" w:color="auto" w:sz="4" w:space="0"/>
              <w:left w:val="single" w:color="auto" w:sz="4" w:space="0"/>
              <w:bottom w:val="single" w:color="auto" w:sz="4" w:space="0"/>
              <w:right w:val="single" w:color="auto" w:sz="4" w:space="0"/>
            </w:tcBorders>
            <w:vAlign w:val="center"/>
          </w:tcPr>
          <w:p w14:paraId="3D1F7F81">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26.1</w:t>
            </w:r>
          </w:p>
        </w:tc>
        <w:tc>
          <w:tcPr>
            <w:tcW w:w="836" w:type="pct"/>
            <w:tcBorders>
              <w:top w:val="single" w:color="auto" w:sz="4" w:space="0"/>
              <w:left w:val="single" w:color="auto" w:sz="4" w:space="0"/>
              <w:bottom w:val="single" w:color="auto" w:sz="4" w:space="0"/>
              <w:right w:val="single" w:color="auto" w:sz="8" w:space="0"/>
            </w:tcBorders>
            <w:vAlign w:val="center"/>
          </w:tcPr>
          <w:p w14:paraId="7C6B5119">
            <w:pPr>
              <w:pStyle w:val="231"/>
              <w:spacing w:line="240" w:lineRule="auto"/>
              <w:jc w:val="center"/>
              <w:rPr>
                <w:rFonts w:ascii="Times New Roman" w:hAnsi="Times New Roman" w:eastAsia="Times New Roman" w:cs="Times New Roman"/>
                <w:highlight w:val="yellow"/>
              </w:rPr>
            </w:pPr>
            <w:r>
              <w:rPr>
                <w:rFonts w:ascii="Times New Roman" w:hAnsi="Times New Roman" w:eastAsia="Times New Roman" w:cs="Times New Roman"/>
              </w:rPr>
              <w:t>93%</w:t>
            </w:r>
          </w:p>
        </w:tc>
      </w:tr>
      <w:tr w14:paraId="214F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4882483A">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4919B23C">
            <w:pPr>
              <w:pStyle w:val="231"/>
              <w:spacing w:line="240" w:lineRule="auto"/>
              <w:jc w:val="center"/>
              <w:rPr>
                <w:rFonts w:ascii="Times New Roman" w:hAnsi="Times New Roman" w:eastAsia="Times New Roman" w:cs="Times New Roman"/>
              </w:rPr>
            </w:pPr>
            <w:r>
              <w:rPr>
                <w:rFonts w:eastAsia="Times New Roman" w:cs="Times New Roman"/>
              </w:rPr>
              <w:t>褐煤</w:t>
            </w:r>
          </w:p>
        </w:tc>
        <w:tc>
          <w:tcPr>
            <w:tcW w:w="595" w:type="pct"/>
            <w:tcBorders>
              <w:top w:val="single" w:color="auto" w:sz="4" w:space="0"/>
              <w:left w:val="single" w:color="auto" w:sz="4" w:space="0"/>
              <w:bottom w:val="single" w:color="auto" w:sz="4" w:space="0"/>
              <w:right w:val="single" w:color="auto" w:sz="4" w:space="0"/>
            </w:tcBorders>
            <w:vAlign w:val="center"/>
          </w:tcPr>
          <w:p w14:paraId="79D7877A">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5C7551CC">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11.9</w:t>
            </w:r>
          </w:p>
        </w:tc>
        <w:tc>
          <w:tcPr>
            <w:tcW w:w="1150" w:type="pct"/>
            <w:tcBorders>
              <w:top w:val="single" w:color="auto" w:sz="4" w:space="0"/>
              <w:left w:val="single" w:color="auto" w:sz="4" w:space="0"/>
              <w:bottom w:val="single" w:color="auto" w:sz="4" w:space="0"/>
              <w:right w:val="single" w:color="auto" w:sz="4" w:space="0"/>
            </w:tcBorders>
            <w:vAlign w:val="center"/>
          </w:tcPr>
          <w:p w14:paraId="1BCFF054">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28.0</w:t>
            </w:r>
          </w:p>
        </w:tc>
        <w:tc>
          <w:tcPr>
            <w:tcW w:w="836" w:type="pct"/>
            <w:tcBorders>
              <w:top w:val="single" w:color="auto" w:sz="4" w:space="0"/>
              <w:left w:val="single" w:color="auto" w:sz="4" w:space="0"/>
              <w:bottom w:val="single" w:color="auto" w:sz="4" w:space="0"/>
              <w:right w:val="single" w:color="auto" w:sz="8" w:space="0"/>
            </w:tcBorders>
            <w:vAlign w:val="center"/>
          </w:tcPr>
          <w:p w14:paraId="13438B9A">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96%</w:t>
            </w:r>
          </w:p>
        </w:tc>
      </w:tr>
      <w:tr w14:paraId="099E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7C050F9B">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6934AD36">
            <w:pPr>
              <w:pStyle w:val="231"/>
              <w:spacing w:line="240" w:lineRule="auto"/>
              <w:jc w:val="center"/>
              <w:rPr>
                <w:rFonts w:ascii="Times New Roman" w:hAnsi="Times New Roman" w:eastAsia="Times New Roman" w:cs="Times New Roman"/>
              </w:rPr>
            </w:pPr>
            <w:r>
              <w:rPr>
                <w:rFonts w:eastAsia="Times New Roman" w:cs="Times New Roman"/>
              </w:rPr>
              <w:t>洗精煤</w:t>
            </w:r>
          </w:p>
        </w:tc>
        <w:tc>
          <w:tcPr>
            <w:tcW w:w="595" w:type="pct"/>
            <w:tcBorders>
              <w:top w:val="single" w:color="auto" w:sz="4" w:space="0"/>
              <w:left w:val="single" w:color="auto" w:sz="4" w:space="0"/>
              <w:bottom w:val="single" w:color="auto" w:sz="4" w:space="0"/>
              <w:right w:val="single" w:color="auto" w:sz="4" w:space="0"/>
            </w:tcBorders>
            <w:vAlign w:val="center"/>
          </w:tcPr>
          <w:p w14:paraId="24E5CCDB">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1EF0B80A">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26.334</w:t>
            </w:r>
          </w:p>
        </w:tc>
        <w:tc>
          <w:tcPr>
            <w:tcW w:w="1150" w:type="pct"/>
            <w:tcBorders>
              <w:top w:val="single" w:color="auto" w:sz="4" w:space="0"/>
              <w:left w:val="single" w:color="auto" w:sz="4" w:space="0"/>
              <w:bottom w:val="single" w:color="auto" w:sz="4" w:space="0"/>
              <w:right w:val="single" w:color="auto" w:sz="4" w:space="0"/>
            </w:tcBorders>
            <w:vAlign w:val="center"/>
          </w:tcPr>
          <w:p w14:paraId="13D1203E">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25.41</w:t>
            </w:r>
          </w:p>
        </w:tc>
        <w:tc>
          <w:tcPr>
            <w:tcW w:w="836" w:type="pct"/>
            <w:tcBorders>
              <w:top w:val="single" w:color="auto" w:sz="4" w:space="0"/>
              <w:left w:val="single" w:color="auto" w:sz="4" w:space="0"/>
              <w:bottom w:val="single" w:color="auto" w:sz="4" w:space="0"/>
              <w:right w:val="single" w:color="auto" w:sz="8" w:space="0"/>
            </w:tcBorders>
            <w:vAlign w:val="center"/>
          </w:tcPr>
          <w:p w14:paraId="58CE9E5F">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90%</w:t>
            </w:r>
          </w:p>
        </w:tc>
      </w:tr>
      <w:tr w14:paraId="051C9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2414AC54">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4823E29D">
            <w:pPr>
              <w:pStyle w:val="231"/>
              <w:spacing w:line="240" w:lineRule="auto"/>
              <w:jc w:val="center"/>
              <w:rPr>
                <w:rFonts w:ascii="Times New Roman" w:hAnsi="Times New Roman" w:eastAsia="Times New Roman" w:cs="Times New Roman"/>
              </w:rPr>
            </w:pPr>
            <w:r>
              <w:rPr>
                <w:rFonts w:eastAsia="Times New Roman" w:cs="Times New Roman"/>
              </w:rPr>
              <w:t>其他洗煤</w:t>
            </w:r>
          </w:p>
        </w:tc>
        <w:tc>
          <w:tcPr>
            <w:tcW w:w="595" w:type="pct"/>
            <w:tcBorders>
              <w:top w:val="single" w:color="auto" w:sz="4" w:space="0"/>
              <w:left w:val="single" w:color="auto" w:sz="4" w:space="0"/>
              <w:bottom w:val="single" w:color="auto" w:sz="4" w:space="0"/>
              <w:right w:val="single" w:color="auto" w:sz="4" w:space="0"/>
            </w:tcBorders>
            <w:vAlign w:val="center"/>
          </w:tcPr>
          <w:p w14:paraId="23B9818B">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1EAB898A">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12.545</w:t>
            </w:r>
          </w:p>
        </w:tc>
        <w:tc>
          <w:tcPr>
            <w:tcW w:w="1150" w:type="pct"/>
            <w:tcBorders>
              <w:top w:val="single" w:color="auto" w:sz="4" w:space="0"/>
              <w:left w:val="single" w:color="auto" w:sz="4" w:space="0"/>
              <w:bottom w:val="single" w:color="auto" w:sz="4" w:space="0"/>
              <w:right w:val="single" w:color="auto" w:sz="4" w:space="0"/>
            </w:tcBorders>
            <w:vAlign w:val="center"/>
          </w:tcPr>
          <w:p w14:paraId="35C83705">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25.41</w:t>
            </w:r>
          </w:p>
        </w:tc>
        <w:tc>
          <w:tcPr>
            <w:tcW w:w="836" w:type="pct"/>
            <w:tcBorders>
              <w:top w:val="single" w:color="auto" w:sz="4" w:space="0"/>
              <w:left w:val="single" w:color="auto" w:sz="4" w:space="0"/>
              <w:bottom w:val="single" w:color="auto" w:sz="4" w:space="0"/>
              <w:right w:val="single" w:color="auto" w:sz="8" w:space="0"/>
            </w:tcBorders>
            <w:vAlign w:val="center"/>
          </w:tcPr>
          <w:p w14:paraId="5CF38405">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90%</w:t>
            </w:r>
          </w:p>
        </w:tc>
      </w:tr>
      <w:tr w14:paraId="40147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361C790E">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7D5CD5DD">
            <w:pPr>
              <w:pStyle w:val="231"/>
              <w:spacing w:line="240" w:lineRule="auto"/>
              <w:jc w:val="center"/>
              <w:rPr>
                <w:rFonts w:ascii="Times New Roman" w:hAnsi="Times New Roman" w:eastAsia="Times New Roman" w:cs="Times New Roman"/>
              </w:rPr>
            </w:pPr>
            <w:r>
              <w:rPr>
                <w:rFonts w:eastAsia="Times New Roman" w:cs="Times New Roman"/>
              </w:rPr>
              <w:t>其他煤制品</w:t>
            </w:r>
          </w:p>
        </w:tc>
        <w:tc>
          <w:tcPr>
            <w:tcW w:w="595" w:type="pct"/>
            <w:tcBorders>
              <w:top w:val="single" w:color="auto" w:sz="4" w:space="0"/>
              <w:left w:val="single" w:color="auto" w:sz="4" w:space="0"/>
              <w:bottom w:val="single" w:color="auto" w:sz="4" w:space="0"/>
              <w:right w:val="single" w:color="auto" w:sz="4" w:space="0"/>
            </w:tcBorders>
            <w:vAlign w:val="center"/>
          </w:tcPr>
          <w:p w14:paraId="6D857FEF">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3589EF62">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17.46</w:t>
            </w:r>
          </w:p>
        </w:tc>
        <w:tc>
          <w:tcPr>
            <w:tcW w:w="1150" w:type="pct"/>
            <w:tcBorders>
              <w:top w:val="single" w:color="auto" w:sz="4" w:space="0"/>
              <w:left w:val="single" w:color="auto" w:sz="4" w:space="0"/>
              <w:bottom w:val="single" w:color="auto" w:sz="4" w:space="0"/>
              <w:right w:val="single" w:color="auto" w:sz="4" w:space="0"/>
            </w:tcBorders>
            <w:vAlign w:val="center"/>
          </w:tcPr>
          <w:p w14:paraId="07B14A50">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33.6</w:t>
            </w:r>
          </w:p>
        </w:tc>
        <w:tc>
          <w:tcPr>
            <w:tcW w:w="836" w:type="pct"/>
            <w:tcBorders>
              <w:top w:val="single" w:color="auto" w:sz="4" w:space="0"/>
              <w:left w:val="single" w:color="auto" w:sz="4" w:space="0"/>
              <w:bottom w:val="single" w:color="auto" w:sz="4" w:space="0"/>
              <w:right w:val="single" w:color="auto" w:sz="8" w:space="0"/>
            </w:tcBorders>
            <w:vAlign w:val="center"/>
          </w:tcPr>
          <w:p w14:paraId="377C8C05">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90%</w:t>
            </w:r>
          </w:p>
        </w:tc>
      </w:tr>
      <w:tr w14:paraId="5610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6BDB80BC">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5EE6A6A7">
            <w:pPr>
              <w:pStyle w:val="231"/>
              <w:spacing w:line="240" w:lineRule="auto"/>
              <w:jc w:val="center"/>
              <w:rPr>
                <w:rFonts w:ascii="Times New Roman" w:hAnsi="Times New Roman" w:eastAsia="Times New Roman" w:cs="Times New Roman"/>
              </w:rPr>
            </w:pPr>
            <w:r>
              <w:rPr>
                <w:rFonts w:eastAsia="Times New Roman" w:cs="Times New Roman"/>
              </w:rPr>
              <w:t>焦炭</w:t>
            </w:r>
          </w:p>
        </w:tc>
        <w:tc>
          <w:tcPr>
            <w:tcW w:w="595" w:type="pct"/>
            <w:tcBorders>
              <w:top w:val="single" w:color="auto" w:sz="4" w:space="0"/>
              <w:left w:val="single" w:color="auto" w:sz="4" w:space="0"/>
              <w:bottom w:val="single" w:color="auto" w:sz="4" w:space="0"/>
              <w:right w:val="single" w:color="auto" w:sz="4" w:space="0"/>
            </w:tcBorders>
            <w:vAlign w:val="center"/>
          </w:tcPr>
          <w:p w14:paraId="51944655">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405B19C6">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28.435</w:t>
            </w:r>
          </w:p>
        </w:tc>
        <w:tc>
          <w:tcPr>
            <w:tcW w:w="1150" w:type="pct"/>
            <w:tcBorders>
              <w:top w:val="single" w:color="auto" w:sz="4" w:space="0"/>
              <w:left w:val="single" w:color="auto" w:sz="4" w:space="0"/>
              <w:bottom w:val="single" w:color="auto" w:sz="4" w:space="0"/>
              <w:right w:val="single" w:color="auto" w:sz="4" w:space="0"/>
            </w:tcBorders>
            <w:vAlign w:val="center"/>
          </w:tcPr>
          <w:p w14:paraId="01F8942E">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29.5</w:t>
            </w:r>
          </w:p>
        </w:tc>
        <w:tc>
          <w:tcPr>
            <w:tcW w:w="836" w:type="pct"/>
            <w:tcBorders>
              <w:top w:val="single" w:color="auto" w:sz="4" w:space="0"/>
              <w:left w:val="single" w:color="auto" w:sz="4" w:space="0"/>
              <w:bottom w:val="single" w:color="auto" w:sz="4" w:space="0"/>
              <w:right w:val="single" w:color="auto" w:sz="8" w:space="0"/>
            </w:tcBorders>
            <w:vAlign w:val="center"/>
          </w:tcPr>
          <w:p w14:paraId="3859549F">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98%</w:t>
            </w:r>
          </w:p>
        </w:tc>
      </w:tr>
      <w:tr w14:paraId="1DF2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restart"/>
            <w:tcBorders>
              <w:top w:val="nil"/>
              <w:left w:val="single" w:color="auto" w:sz="8" w:space="0"/>
              <w:bottom w:val="single" w:color="auto" w:sz="4" w:space="0"/>
              <w:right w:val="single" w:color="auto" w:sz="4" w:space="0"/>
            </w:tcBorders>
            <w:vAlign w:val="center"/>
          </w:tcPr>
          <w:p w14:paraId="4315AE9C">
            <w:pPr>
              <w:pStyle w:val="231"/>
              <w:spacing w:line="240" w:lineRule="auto"/>
              <w:jc w:val="center"/>
              <w:rPr>
                <w:rFonts w:ascii="Times New Roman" w:hAnsi="Times New Roman" w:eastAsia="Times New Roman" w:cs="Times New Roman"/>
              </w:rPr>
            </w:pPr>
            <w:r>
              <w:rPr>
                <w:rFonts w:eastAsia="Times New Roman" w:cs="Times New Roman"/>
              </w:rPr>
              <w:t>液体燃料</w:t>
            </w:r>
          </w:p>
        </w:tc>
        <w:tc>
          <w:tcPr>
            <w:tcW w:w="770" w:type="pct"/>
            <w:tcBorders>
              <w:top w:val="single" w:color="auto" w:sz="4" w:space="0"/>
              <w:left w:val="single" w:color="auto" w:sz="4" w:space="0"/>
              <w:bottom w:val="single" w:color="auto" w:sz="4" w:space="0"/>
              <w:right w:val="single" w:color="auto" w:sz="4" w:space="0"/>
            </w:tcBorders>
            <w:vAlign w:val="center"/>
          </w:tcPr>
          <w:p w14:paraId="31D85C5B">
            <w:pPr>
              <w:pStyle w:val="231"/>
              <w:spacing w:line="240" w:lineRule="auto"/>
              <w:jc w:val="center"/>
              <w:rPr>
                <w:rFonts w:ascii="Times New Roman" w:hAnsi="Times New Roman" w:eastAsia="Times New Roman" w:cs="Times New Roman"/>
              </w:rPr>
            </w:pPr>
            <w:r>
              <w:rPr>
                <w:rFonts w:eastAsia="Times New Roman" w:cs="Times New Roman"/>
              </w:rPr>
              <w:t>原油</w:t>
            </w:r>
          </w:p>
        </w:tc>
        <w:tc>
          <w:tcPr>
            <w:tcW w:w="595" w:type="pct"/>
            <w:tcBorders>
              <w:top w:val="single" w:color="auto" w:sz="4" w:space="0"/>
              <w:left w:val="single" w:color="auto" w:sz="4" w:space="0"/>
              <w:bottom w:val="single" w:color="auto" w:sz="4" w:space="0"/>
              <w:right w:val="single" w:color="auto" w:sz="4" w:space="0"/>
            </w:tcBorders>
            <w:vAlign w:val="center"/>
          </w:tcPr>
          <w:p w14:paraId="545BE60D">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64955624">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41.816</w:t>
            </w:r>
          </w:p>
        </w:tc>
        <w:tc>
          <w:tcPr>
            <w:tcW w:w="1150" w:type="pct"/>
            <w:tcBorders>
              <w:top w:val="single" w:color="auto" w:sz="4" w:space="0"/>
              <w:left w:val="single" w:color="auto" w:sz="4" w:space="0"/>
              <w:bottom w:val="single" w:color="auto" w:sz="4" w:space="0"/>
              <w:right w:val="single" w:color="auto" w:sz="4" w:space="0"/>
            </w:tcBorders>
            <w:vAlign w:val="center"/>
          </w:tcPr>
          <w:p w14:paraId="50167F9D">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20.1</w:t>
            </w:r>
          </w:p>
        </w:tc>
        <w:tc>
          <w:tcPr>
            <w:tcW w:w="836" w:type="pct"/>
            <w:tcBorders>
              <w:top w:val="single" w:color="auto" w:sz="4" w:space="0"/>
              <w:left w:val="single" w:color="auto" w:sz="4" w:space="0"/>
              <w:bottom w:val="single" w:color="auto" w:sz="4" w:space="0"/>
              <w:right w:val="single" w:color="auto" w:sz="8" w:space="0"/>
            </w:tcBorders>
            <w:vAlign w:val="center"/>
          </w:tcPr>
          <w:p w14:paraId="0A2A9064">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98%</w:t>
            </w:r>
          </w:p>
        </w:tc>
      </w:tr>
      <w:tr w14:paraId="0F86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68A18B7D">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187120D7">
            <w:pPr>
              <w:pStyle w:val="231"/>
              <w:spacing w:line="240" w:lineRule="auto"/>
              <w:jc w:val="center"/>
              <w:rPr>
                <w:rFonts w:ascii="Times New Roman" w:hAnsi="Times New Roman" w:eastAsia="Times New Roman" w:cs="Times New Roman"/>
              </w:rPr>
            </w:pPr>
            <w:r>
              <w:rPr>
                <w:rFonts w:eastAsia="Times New Roman" w:cs="Times New Roman"/>
              </w:rPr>
              <w:t>燃料油</w:t>
            </w:r>
          </w:p>
        </w:tc>
        <w:tc>
          <w:tcPr>
            <w:tcW w:w="595" w:type="pct"/>
            <w:tcBorders>
              <w:top w:val="single" w:color="auto" w:sz="4" w:space="0"/>
              <w:left w:val="single" w:color="auto" w:sz="4" w:space="0"/>
              <w:bottom w:val="single" w:color="auto" w:sz="4" w:space="0"/>
              <w:right w:val="single" w:color="auto" w:sz="4" w:space="0"/>
            </w:tcBorders>
            <w:vAlign w:val="center"/>
          </w:tcPr>
          <w:p w14:paraId="47059732">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3C8630C1">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41.816</w:t>
            </w:r>
          </w:p>
        </w:tc>
        <w:tc>
          <w:tcPr>
            <w:tcW w:w="1150" w:type="pct"/>
            <w:tcBorders>
              <w:top w:val="single" w:color="auto" w:sz="4" w:space="0"/>
              <w:left w:val="single" w:color="auto" w:sz="4" w:space="0"/>
              <w:bottom w:val="single" w:color="auto" w:sz="4" w:space="0"/>
              <w:right w:val="single" w:color="auto" w:sz="4" w:space="0"/>
            </w:tcBorders>
            <w:vAlign w:val="center"/>
          </w:tcPr>
          <w:p w14:paraId="030942EB">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21.1</w:t>
            </w:r>
          </w:p>
        </w:tc>
        <w:tc>
          <w:tcPr>
            <w:tcW w:w="836" w:type="pct"/>
            <w:tcBorders>
              <w:top w:val="single" w:color="auto" w:sz="4" w:space="0"/>
              <w:left w:val="single" w:color="auto" w:sz="4" w:space="0"/>
              <w:bottom w:val="single" w:color="auto" w:sz="4" w:space="0"/>
              <w:right w:val="single" w:color="auto" w:sz="8" w:space="0"/>
            </w:tcBorders>
            <w:vAlign w:val="center"/>
          </w:tcPr>
          <w:p w14:paraId="1558ECF1">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98%</w:t>
            </w:r>
          </w:p>
        </w:tc>
      </w:tr>
      <w:tr w14:paraId="138E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3A303373">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66328A08">
            <w:pPr>
              <w:pStyle w:val="231"/>
              <w:spacing w:line="240" w:lineRule="auto"/>
              <w:jc w:val="center"/>
              <w:rPr>
                <w:rFonts w:ascii="Times New Roman" w:hAnsi="Times New Roman" w:eastAsia="Times New Roman" w:cs="Times New Roman"/>
              </w:rPr>
            </w:pPr>
            <w:r>
              <w:rPr>
                <w:rFonts w:eastAsia="Times New Roman" w:cs="Times New Roman"/>
              </w:rPr>
              <w:t>汽油</w:t>
            </w:r>
          </w:p>
        </w:tc>
        <w:tc>
          <w:tcPr>
            <w:tcW w:w="595" w:type="pct"/>
            <w:tcBorders>
              <w:top w:val="single" w:color="auto" w:sz="4" w:space="0"/>
              <w:left w:val="single" w:color="auto" w:sz="4" w:space="0"/>
              <w:bottom w:val="single" w:color="auto" w:sz="4" w:space="0"/>
              <w:right w:val="single" w:color="auto" w:sz="4" w:space="0"/>
            </w:tcBorders>
            <w:vAlign w:val="center"/>
          </w:tcPr>
          <w:p w14:paraId="3BE64B25">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0CDD960C">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43.070</w:t>
            </w:r>
          </w:p>
        </w:tc>
        <w:tc>
          <w:tcPr>
            <w:tcW w:w="1150" w:type="pct"/>
            <w:tcBorders>
              <w:top w:val="single" w:color="auto" w:sz="4" w:space="0"/>
              <w:left w:val="single" w:color="auto" w:sz="4" w:space="0"/>
              <w:bottom w:val="single" w:color="auto" w:sz="4" w:space="0"/>
              <w:right w:val="single" w:color="auto" w:sz="4" w:space="0"/>
            </w:tcBorders>
            <w:vAlign w:val="center"/>
          </w:tcPr>
          <w:p w14:paraId="2BD20867">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18.9</w:t>
            </w:r>
          </w:p>
        </w:tc>
        <w:tc>
          <w:tcPr>
            <w:tcW w:w="836" w:type="pct"/>
            <w:tcBorders>
              <w:top w:val="single" w:color="auto" w:sz="4" w:space="0"/>
              <w:left w:val="single" w:color="auto" w:sz="4" w:space="0"/>
              <w:bottom w:val="single" w:color="auto" w:sz="4" w:space="0"/>
              <w:right w:val="single" w:color="auto" w:sz="8" w:space="0"/>
            </w:tcBorders>
            <w:vAlign w:val="center"/>
          </w:tcPr>
          <w:p w14:paraId="33991A2E">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98%</w:t>
            </w:r>
          </w:p>
        </w:tc>
      </w:tr>
      <w:tr w14:paraId="711FF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50008D5F">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403C4370">
            <w:pPr>
              <w:pStyle w:val="231"/>
              <w:spacing w:line="240" w:lineRule="auto"/>
              <w:jc w:val="center"/>
              <w:rPr>
                <w:rFonts w:ascii="Times New Roman" w:hAnsi="Times New Roman" w:eastAsia="Times New Roman" w:cs="Times New Roman"/>
              </w:rPr>
            </w:pPr>
            <w:r>
              <w:rPr>
                <w:rFonts w:eastAsia="Times New Roman" w:cs="Times New Roman"/>
              </w:rPr>
              <w:t>柴油</w:t>
            </w:r>
          </w:p>
        </w:tc>
        <w:tc>
          <w:tcPr>
            <w:tcW w:w="595" w:type="pct"/>
            <w:tcBorders>
              <w:top w:val="single" w:color="auto" w:sz="4" w:space="0"/>
              <w:left w:val="single" w:color="auto" w:sz="4" w:space="0"/>
              <w:bottom w:val="single" w:color="auto" w:sz="4" w:space="0"/>
              <w:right w:val="single" w:color="auto" w:sz="4" w:space="0"/>
            </w:tcBorders>
            <w:vAlign w:val="center"/>
          </w:tcPr>
          <w:p w14:paraId="62F3F5EE">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442E87EC">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42.652</w:t>
            </w:r>
          </w:p>
        </w:tc>
        <w:tc>
          <w:tcPr>
            <w:tcW w:w="1150" w:type="pct"/>
            <w:tcBorders>
              <w:top w:val="single" w:color="auto" w:sz="4" w:space="0"/>
              <w:left w:val="single" w:color="auto" w:sz="4" w:space="0"/>
              <w:bottom w:val="single" w:color="auto" w:sz="4" w:space="0"/>
              <w:right w:val="single" w:color="auto" w:sz="4" w:space="0"/>
            </w:tcBorders>
            <w:vAlign w:val="center"/>
          </w:tcPr>
          <w:p w14:paraId="4821481E">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20.2</w:t>
            </w:r>
          </w:p>
        </w:tc>
        <w:tc>
          <w:tcPr>
            <w:tcW w:w="836" w:type="pct"/>
            <w:tcBorders>
              <w:top w:val="single" w:color="auto" w:sz="4" w:space="0"/>
              <w:left w:val="single" w:color="auto" w:sz="4" w:space="0"/>
              <w:bottom w:val="single" w:color="auto" w:sz="4" w:space="0"/>
              <w:right w:val="single" w:color="auto" w:sz="8" w:space="0"/>
            </w:tcBorders>
            <w:vAlign w:val="center"/>
          </w:tcPr>
          <w:p w14:paraId="3FD88981">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98%</w:t>
            </w:r>
          </w:p>
        </w:tc>
      </w:tr>
      <w:tr w14:paraId="206A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720E8F79">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33A30F2B">
            <w:pPr>
              <w:pStyle w:val="231"/>
              <w:spacing w:line="240" w:lineRule="auto"/>
              <w:jc w:val="center"/>
              <w:rPr>
                <w:rFonts w:ascii="Times New Roman" w:hAnsi="Times New Roman" w:eastAsia="Times New Roman" w:cs="Times New Roman"/>
              </w:rPr>
            </w:pPr>
            <w:r>
              <w:rPr>
                <w:rFonts w:eastAsia="Times New Roman" w:cs="Times New Roman"/>
              </w:rPr>
              <w:t>一般煤油</w:t>
            </w:r>
          </w:p>
        </w:tc>
        <w:tc>
          <w:tcPr>
            <w:tcW w:w="595" w:type="pct"/>
            <w:tcBorders>
              <w:top w:val="single" w:color="auto" w:sz="4" w:space="0"/>
              <w:left w:val="single" w:color="auto" w:sz="4" w:space="0"/>
              <w:bottom w:val="single" w:color="auto" w:sz="4" w:space="0"/>
              <w:right w:val="single" w:color="auto" w:sz="4" w:space="0"/>
            </w:tcBorders>
            <w:vAlign w:val="center"/>
          </w:tcPr>
          <w:p w14:paraId="1189A1FE">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681837AE">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43.031</w:t>
            </w:r>
          </w:p>
        </w:tc>
        <w:tc>
          <w:tcPr>
            <w:tcW w:w="1150" w:type="pct"/>
            <w:tcBorders>
              <w:top w:val="single" w:color="auto" w:sz="4" w:space="0"/>
              <w:left w:val="single" w:color="auto" w:sz="4" w:space="0"/>
              <w:bottom w:val="single" w:color="auto" w:sz="4" w:space="0"/>
              <w:right w:val="single" w:color="auto" w:sz="4" w:space="0"/>
            </w:tcBorders>
            <w:vAlign w:val="center"/>
          </w:tcPr>
          <w:p w14:paraId="041D0713">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19.6</w:t>
            </w:r>
          </w:p>
        </w:tc>
        <w:tc>
          <w:tcPr>
            <w:tcW w:w="836" w:type="pct"/>
            <w:tcBorders>
              <w:top w:val="single" w:color="auto" w:sz="4" w:space="0"/>
              <w:left w:val="single" w:color="auto" w:sz="4" w:space="0"/>
              <w:bottom w:val="single" w:color="auto" w:sz="4" w:space="0"/>
              <w:right w:val="single" w:color="auto" w:sz="8" w:space="0"/>
            </w:tcBorders>
            <w:vAlign w:val="center"/>
          </w:tcPr>
          <w:p w14:paraId="68A516DA">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98%</w:t>
            </w:r>
          </w:p>
        </w:tc>
      </w:tr>
      <w:tr w14:paraId="42392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34289FCD">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15874714">
            <w:pPr>
              <w:pStyle w:val="231"/>
              <w:spacing w:line="240" w:lineRule="auto"/>
              <w:jc w:val="center"/>
              <w:rPr>
                <w:rFonts w:ascii="Times New Roman" w:hAnsi="Times New Roman" w:eastAsia="Times New Roman" w:cs="Times New Roman"/>
              </w:rPr>
            </w:pPr>
            <w:r>
              <w:rPr>
                <w:rFonts w:eastAsia="Times New Roman" w:cs="Times New Roman"/>
              </w:rPr>
              <w:t>液化天然气</w:t>
            </w:r>
          </w:p>
        </w:tc>
        <w:tc>
          <w:tcPr>
            <w:tcW w:w="595" w:type="pct"/>
            <w:tcBorders>
              <w:top w:val="single" w:color="auto" w:sz="4" w:space="0"/>
              <w:left w:val="single" w:color="auto" w:sz="4" w:space="0"/>
              <w:bottom w:val="single" w:color="auto" w:sz="4" w:space="0"/>
              <w:right w:val="single" w:color="auto" w:sz="4" w:space="0"/>
            </w:tcBorders>
            <w:vAlign w:val="center"/>
          </w:tcPr>
          <w:p w14:paraId="01BE884F">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05800177">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51.498</w:t>
            </w:r>
          </w:p>
        </w:tc>
        <w:tc>
          <w:tcPr>
            <w:tcW w:w="1150" w:type="pct"/>
            <w:tcBorders>
              <w:top w:val="single" w:color="auto" w:sz="4" w:space="0"/>
              <w:left w:val="single" w:color="auto" w:sz="4" w:space="0"/>
              <w:bottom w:val="single" w:color="auto" w:sz="4" w:space="0"/>
              <w:right w:val="single" w:color="auto" w:sz="4" w:space="0"/>
            </w:tcBorders>
            <w:vAlign w:val="center"/>
          </w:tcPr>
          <w:p w14:paraId="1AC4DFA4">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17.2</w:t>
            </w:r>
          </w:p>
        </w:tc>
        <w:tc>
          <w:tcPr>
            <w:tcW w:w="836" w:type="pct"/>
            <w:tcBorders>
              <w:top w:val="single" w:color="auto" w:sz="4" w:space="0"/>
              <w:left w:val="single" w:color="auto" w:sz="4" w:space="0"/>
              <w:bottom w:val="single" w:color="auto" w:sz="4" w:space="0"/>
              <w:right w:val="single" w:color="auto" w:sz="8" w:space="0"/>
            </w:tcBorders>
            <w:vAlign w:val="center"/>
          </w:tcPr>
          <w:p w14:paraId="0DC463E6">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98%</w:t>
            </w:r>
          </w:p>
        </w:tc>
      </w:tr>
      <w:tr w14:paraId="7592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252D4AE5">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559EF713">
            <w:pPr>
              <w:pStyle w:val="231"/>
              <w:spacing w:line="240" w:lineRule="auto"/>
              <w:jc w:val="center"/>
              <w:rPr>
                <w:rFonts w:ascii="Times New Roman" w:hAnsi="Times New Roman" w:eastAsia="Times New Roman" w:cs="Times New Roman"/>
              </w:rPr>
            </w:pPr>
            <w:r>
              <w:rPr>
                <w:rFonts w:eastAsia="Times New Roman" w:cs="Times New Roman"/>
              </w:rPr>
              <w:t>液化石油气</w:t>
            </w:r>
          </w:p>
        </w:tc>
        <w:tc>
          <w:tcPr>
            <w:tcW w:w="595" w:type="pct"/>
            <w:tcBorders>
              <w:top w:val="single" w:color="auto" w:sz="4" w:space="0"/>
              <w:left w:val="single" w:color="auto" w:sz="4" w:space="0"/>
              <w:bottom w:val="single" w:color="auto" w:sz="4" w:space="0"/>
              <w:right w:val="single" w:color="auto" w:sz="4" w:space="0"/>
            </w:tcBorders>
            <w:vAlign w:val="center"/>
          </w:tcPr>
          <w:p w14:paraId="4E798378">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26B57E31">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50.179</w:t>
            </w:r>
          </w:p>
        </w:tc>
        <w:tc>
          <w:tcPr>
            <w:tcW w:w="1150" w:type="pct"/>
            <w:tcBorders>
              <w:top w:val="single" w:color="auto" w:sz="4" w:space="0"/>
              <w:left w:val="single" w:color="auto" w:sz="4" w:space="0"/>
              <w:bottom w:val="single" w:color="auto" w:sz="4" w:space="0"/>
              <w:right w:val="single" w:color="auto" w:sz="4" w:space="0"/>
            </w:tcBorders>
            <w:vAlign w:val="center"/>
          </w:tcPr>
          <w:p w14:paraId="1BB6F159">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17.2</w:t>
            </w:r>
          </w:p>
        </w:tc>
        <w:tc>
          <w:tcPr>
            <w:tcW w:w="836" w:type="pct"/>
            <w:tcBorders>
              <w:top w:val="single" w:color="auto" w:sz="4" w:space="0"/>
              <w:left w:val="single" w:color="auto" w:sz="4" w:space="0"/>
              <w:bottom w:val="single" w:color="auto" w:sz="4" w:space="0"/>
              <w:right w:val="single" w:color="auto" w:sz="8" w:space="0"/>
            </w:tcBorders>
            <w:vAlign w:val="center"/>
          </w:tcPr>
          <w:p w14:paraId="5455AB1D">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98%</w:t>
            </w:r>
          </w:p>
        </w:tc>
      </w:tr>
      <w:tr w14:paraId="786B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0959E0C6">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5810CC97">
            <w:pPr>
              <w:pStyle w:val="231"/>
              <w:spacing w:line="240" w:lineRule="auto"/>
              <w:jc w:val="center"/>
              <w:rPr>
                <w:rFonts w:ascii="Times New Roman" w:hAnsi="Times New Roman" w:eastAsia="Times New Roman" w:cs="Times New Roman"/>
              </w:rPr>
            </w:pPr>
            <w:r>
              <w:rPr>
                <w:rFonts w:eastAsia="Times New Roman" w:cs="Times New Roman"/>
              </w:rPr>
              <w:t>焦油</w:t>
            </w:r>
          </w:p>
        </w:tc>
        <w:tc>
          <w:tcPr>
            <w:tcW w:w="595" w:type="pct"/>
            <w:tcBorders>
              <w:top w:val="single" w:color="auto" w:sz="4" w:space="0"/>
              <w:left w:val="single" w:color="auto" w:sz="4" w:space="0"/>
              <w:bottom w:val="single" w:color="auto" w:sz="4" w:space="0"/>
              <w:right w:val="single" w:color="auto" w:sz="4" w:space="0"/>
            </w:tcBorders>
            <w:vAlign w:val="center"/>
          </w:tcPr>
          <w:p w14:paraId="1785B3B2">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7F4B6A49">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33.453</w:t>
            </w:r>
          </w:p>
        </w:tc>
        <w:tc>
          <w:tcPr>
            <w:tcW w:w="1150" w:type="pct"/>
            <w:tcBorders>
              <w:top w:val="single" w:color="auto" w:sz="4" w:space="0"/>
              <w:left w:val="single" w:color="auto" w:sz="4" w:space="0"/>
              <w:bottom w:val="single" w:color="auto" w:sz="4" w:space="0"/>
              <w:right w:val="single" w:color="auto" w:sz="4" w:space="0"/>
            </w:tcBorders>
            <w:vAlign w:val="center"/>
          </w:tcPr>
          <w:p w14:paraId="0B395C52">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22.0</w:t>
            </w:r>
          </w:p>
        </w:tc>
        <w:tc>
          <w:tcPr>
            <w:tcW w:w="836" w:type="pct"/>
            <w:tcBorders>
              <w:top w:val="single" w:color="auto" w:sz="4" w:space="0"/>
              <w:left w:val="single" w:color="auto" w:sz="4" w:space="0"/>
              <w:bottom w:val="single" w:color="auto" w:sz="4" w:space="0"/>
              <w:right w:val="single" w:color="auto" w:sz="8" w:space="0"/>
            </w:tcBorders>
            <w:vAlign w:val="center"/>
          </w:tcPr>
          <w:p w14:paraId="32977B8C">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98%</w:t>
            </w:r>
          </w:p>
        </w:tc>
      </w:tr>
      <w:tr w14:paraId="55AA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501" w:type="pct"/>
            <w:vMerge w:val="continue"/>
            <w:tcBorders>
              <w:top w:val="nil"/>
              <w:left w:val="single" w:color="auto" w:sz="8" w:space="0"/>
              <w:bottom w:val="single" w:color="auto" w:sz="4" w:space="0"/>
              <w:right w:val="single" w:color="auto" w:sz="4" w:space="0"/>
            </w:tcBorders>
            <w:vAlign w:val="center"/>
          </w:tcPr>
          <w:p w14:paraId="50465496">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3527DB7B">
            <w:pPr>
              <w:pStyle w:val="231"/>
              <w:spacing w:line="240" w:lineRule="auto"/>
              <w:jc w:val="center"/>
              <w:rPr>
                <w:rFonts w:ascii="Times New Roman" w:hAnsi="Times New Roman" w:eastAsia="Times New Roman" w:cs="Times New Roman"/>
              </w:rPr>
            </w:pPr>
            <w:r>
              <w:rPr>
                <w:rFonts w:eastAsia="Times New Roman" w:cs="Times New Roman"/>
              </w:rPr>
              <w:t>粗苯</w:t>
            </w:r>
          </w:p>
        </w:tc>
        <w:tc>
          <w:tcPr>
            <w:tcW w:w="595" w:type="pct"/>
            <w:tcBorders>
              <w:top w:val="single" w:color="auto" w:sz="4" w:space="0"/>
              <w:left w:val="single" w:color="auto" w:sz="4" w:space="0"/>
              <w:bottom w:val="single" w:color="auto" w:sz="4" w:space="0"/>
              <w:right w:val="single" w:color="auto" w:sz="4" w:space="0"/>
            </w:tcBorders>
            <w:vAlign w:val="center"/>
          </w:tcPr>
          <w:p w14:paraId="551BC11E">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t</w:t>
            </w:r>
          </w:p>
        </w:tc>
        <w:tc>
          <w:tcPr>
            <w:tcW w:w="1148" w:type="pct"/>
            <w:tcBorders>
              <w:top w:val="single" w:color="auto" w:sz="4" w:space="0"/>
              <w:left w:val="single" w:color="auto" w:sz="4" w:space="0"/>
              <w:bottom w:val="single" w:color="auto" w:sz="4" w:space="0"/>
              <w:right w:val="single" w:color="auto" w:sz="4" w:space="0"/>
            </w:tcBorders>
            <w:vAlign w:val="center"/>
          </w:tcPr>
          <w:p w14:paraId="24CC8806">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41.816</w:t>
            </w:r>
          </w:p>
        </w:tc>
        <w:tc>
          <w:tcPr>
            <w:tcW w:w="1150" w:type="pct"/>
            <w:tcBorders>
              <w:top w:val="single" w:color="auto" w:sz="4" w:space="0"/>
              <w:left w:val="single" w:color="auto" w:sz="4" w:space="0"/>
              <w:bottom w:val="single" w:color="auto" w:sz="4" w:space="0"/>
              <w:right w:val="single" w:color="auto" w:sz="4" w:space="0"/>
            </w:tcBorders>
            <w:vAlign w:val="center"/>
          </w:tcPr>
          <w:p w14:paraId="558B05C7">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22.7</w:t>
            </w:r>
          </w:p>
        </w:tc>
        <w:tc>
          <w:tcPr>
            <w:tcW w:w="836" w:type="pct"/>
            <w:tcBorders>
              <w:top w:val="single" w:color="auto" w:sz="4" w:space="0"/>
              <w:left w:val="single" w:color="auto" w:sz="4" w:space="0"/>
              <w:bottom w:val="single" w:color="auto" w:sz="4" w:space="0"/>
              <w:right w:val="single" w:color="auto" w:sz="8" w:space="0"/>
            </w:tcBorders>
            <w:vAlign w:val="center"/>
          </w:tcPr>
          <w:p w14:paraId="51697497">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98%</w:t>
            </w:r>
          </w:p>
        </w:tc>
      </w:tr>
      <w:tr w14:paraId="686AD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501" w:type="pct"/>
            <w:vMerge w:val="restart"/>
            <w:tcBorders>
              <w:top w:val="nil"/>
              <w:left w:val="single" w:color="auto" w:sz="8" w:space="0"/>
              <w:right w:val="single" w:color="auto" w:sz="4" w:space="0"/>
            </w:tcBorders>
            <w:vAlign w:val="center"/>
          </w:tcPr>
          <w:p w14:paraId="0E0CBF09">
            <w:pPr>
              <w:pStyle w:val="231"/>
              <w:spacing w:line="240" w:lineRule="auto"/>
              <w:jc w:val="center"/>
              <w:rPr>
                <w:rFonts w:ascii="Times New Roman" w:hAnsi="Times New Roman" w:eastAsia="Times New Roman" w:cs="Times New Roman"/>
              </w:rPr>
            </w:pPr>
            <w:r>
              <w:rPr>
                <w:rFonts w:eastAsia="Times New Roman" w:cs="Times New Roman"/>
              </w:rPr>
              <w:t>气体燃料</w:t>
            </w:r>
          </w:p>
        </w:tc>
        <w:tc>
          <w:tcPr>
            <w:tcW w:w="770" w:type="pct"/>
            <w:tcBorders>
              <w:top w:val="single" w:color="auto" w:sz="4" w:space="0"/>
              <w:left w:val="single" w:color="auto" w:sz="4" w:space="0"/>
              <w:bottom w:val="single" w:color="auto" w:sz="4" w:space="0"/>
              <w:right w:val="single" w:color="auto" w:sz="4" w:space="0"/>
            </w:tcBorders>
            <w:vAlign w:val="center"/>
          </w:tcPr>
          <w:p w14:paraId="1A098627">
            <w:pPr>
              <w:pStyle w:val="231"/>
              <w:spacing w:line="240" w:lineRule="auto"/>
              <w:jc w:val="center"/>
              <w:rPr>
                <w:rFonts w:ascii="Times New Roman" w:hAnsi="Times New Roman" w:eastAsia="Times New Roman" w:cs="Times New Roman"/>
              </w:rPr>
            </w:pPr>
            <w:r>
              <w:rPr>
                <w:rFonts w:eastAsia="Times New Roman" w:cs="Times New Roman"/>
              </w:rPr>
              <w:t>焦炉煤气</w:t>
            </w:r>
          </w:p>
        </w:tc>
        <w:tc>
          <w:tcPr>
            <w:tcW w:w="595" w:type="pct"/>
            <w:tcBorders>
              <w:top w:val="single" w:color="auto" w:sz="4" w:space="0"/>
              <w:left w:val="single" w:color="auto" w:sz="4" w:space="0"/>
              <w:bottom w:val="single" w:color="auto" w:sz="4" w:space="0"/>
              <w:right w:val="single" w:color="auto" w:sz="4" w:space="0"/>
            </w:tcBorders>
            <w:vAlign w:val="center"/>
          </w:tcPr>
          <w:p w14:paraId="7A6C3D63">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10⁴Nm³</w:t>
            </w:r>
          </w:p>
        </w:tc>
        <w:tc>
          <w:tcPr>
            <w:tcW w:w="1148" w:type="pct"/>
            <w:tcBorders>
              <w:top w:val="single" w:color="auto" w:sz="4" w:space="0"/>
              <w:left w:val="single" w:color="auto" w:sz="4" w:space="0"/>
              <w:bottom w:val="single" w:color="auto" w:sz="4" w:space="0"/>
              <w:right w:val="single" w:color="auto" w:sz="4" w:space="0"/>
            </w:tcBorders>
            <w:vAlign w:val="center"/>
          </w:tcPr>
          <w:p w14:paraId="257BFA26">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173.54</w:t>
            </w:r>
          </w:p>
        </w:tc>
        <w:tc>
          <w:tcPr>
            <w:tcW w:w="1150" w:type="pct"/>
            <w:tcBorders>
              <w:top w:val="single" w:color="auto" w:sz="4" w:space="0"/>
              <w:left w:val="single" w:color="auto" w:sz="4" w:space="0"/>
              <w:bottom w:val="single" w:color="auto" w:sz="4" w:space="0"/>
              <w:right w:val="single" w:color="auto" w:sz="4" w:space="0"/>
            </w:tcBorders>
            <w:vAlign w:val="center"/>
          </w:tcPr>
          <w:p w14:paraId="20384EF6">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12.1</w:t>
            </w:r>
          </w:p>
        </w:tc>
        <w:tc>
          <w:tcPr>
            <w:tcW w:w="836" w:type="pct"/>
            <w:tcBorders>
              <w:top w:val="single" w:color="auto" w:sz="4" w:space="0"/>
              <w:left w:val="single" w:color="auto" w:sz="4" w:space="0"/>
              <w:bottom w:val="single" w:color="auto" w:sz="4" w:space="0"/>
              <w:right w:val="single" w:color="auto" w:sz="8" w:space="0"/>
            </w:tcBorders>
            <w:vAlign w:val="center"/>
          </w:tcPr>
          <w:p w14:paraId="2B39EDF6">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99%</w:t>
            </w:r>
          </w:p>
        </w:tc>
      </w:tr>
      <w:tr w14:paraId="6BCC7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left w:val="single" w:color="auto" w:sz="8" w:space="0"/>
              <w:right w:val="single" w:color="auto" w:sz="4" w:space="0"/>
            </w:tcBorders>
            <w:vAlign w:val="center"/>
          </w:tcPr>
          <w:p w14:paraId="65019014">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08014116">
            <w:pPr>
              <w:pStyle w:val="231"/>
              <w:spacing w:line="240" w:lineRule="auto"/>
              <w:jc w:val="center"/>
              <w:rPr>
                <w:rFonts w:ascii="Times New Roman" w:hAnsi="Times New Roman" w:eastAsia="Times New Roman" w:cs="Times New Roman"/>
              </w:rPr>
            </w:pPr>
            <w:r>
              <w:rPr>
                <w:rFonts w:eastAsia="Times New Roman" w:cs="Times New Roman"/>
              </w:rPr>
              <w:t>高炉煤气</w:t>
            </w:r>
          </w:p>
        </w:tc>
        <w:tc>
          <w:tcPr>
            <w:tcW w:w="595" w:type="pct"/>
            <w:tcBorders>
              <w:top w:val="single" w:color="auto" w:sz="4" w:space="0"/>
              <w:left w:val="single" w:color="auto" w:sz="4" w:space="0"/>
              <w:bottom w:val="single" w:color="auto" w:sz="4" w:space="0"/>
              <w:right w:val="single" w:color="auto" w:sz="4" w:space="0"/>
            </w:tcBorders>
            <w:vAlign w:val="center"/>
          </w:tcPr>
          <w:p w14:paraId="332A9919">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10⁴Nm³</w:t>
            </w:r>
          </w:p>
        </w:tc>
        <w:tc>
          <w:tcPr>
            <w:tcW w:w="1148" w:type="pct"/>
            <w:tcBorders>
              <w:top w:val="single" w:color="auto" w:sz="4" w:space="0"/>
              <w:left w:val="single" w:color="auto" w:sz="4" w:space="0"/>
              <w:bottom w:val="single" w:color="auto" w:sz="4" w:space="0"/>
              <w:right w:val="single" w:color="auto" w:sz="4" w:space="0"/>
            </w:tcBorders>
            <w:vAlign w:val="center"/>
          </w:tcPr>
          <w:p w14:paraId="04401F17">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33.00</w:t>
            </w:r>
          </w:p>
        </w:tc>
        <w:tc>
          <w:tcPr>
            <w:tcW w:w="1150" w:type="pct"/>
            <w:tcBorders>
              <w:top w:val="single" w:color="auto" w:sz="4" w:space="0"/>
              <w:left w:val="single" w:color="auto" w:sz="4" w:space="0"/>
              <w:bottom w:val="single" w:color="auto" w:sz="4" w:space="0"/>
              <w:right w:val="single" w:color="auto" w:sz="4" w:space="0"/>
            </w:tcBorders>
            <w:vAlign w:val="center"/>
          </w:tcPr>
          <w:p w14:paraId="2AF56204">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70.8</w:t>
            </w:r>
          </w:p>
        </w:tc>
        <w:tc>
          <w:tcPr>
            <w:tcW w:w="836" w:type="pct"/>
            <w:tcBorders>
              <w:top w:val="single" w:color="auto" w:sz="4" w:space="0"/>
              <w:left w:val="single" w:color="auto" w:sz="4" w:space="0"/>
              <w:bottom w:val="single" w:color="auto" w:sz="4" w:space="0"/>
              <w:right w:val="single" w:color="auto" w:sz="8" w:space="0"/>
            </w:tcBorders>
            <w:vAlign w:val="center"/>
          </w:tcPr>
          <w:p w14:paraId="22BDF0D2">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99%</w:t>
            </w:r>
          </w:p>
        </w:tc>
      </w:tr>
      <w:tr w14:paraId="63A2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left w:val="single" w:color="auto" w:sz="8" w:space="0"/>
              <w:right w:val="single" w:color="auto" w:sz="4" w:space="0"/>
            </w:tcBorders>
            <w:vAlign w:val="center"/>
          </w:tcPr>
          <w:p w14:paraId="1E4D2D50">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11D00918">
            <w:pPr>
              <w:pStyle w:val="231"/>
              <w:spacing w:line="240" w:lineRule="auto"/>
              <w:jc w:val="center"/>
              <w:rPr>
                <w:rFonts w:ascii="Times New Roman" w:hAnsi="Times New Roman" w:eastAsia="Times New Roman" w:cs="Times New Roman"/>
              </w:rPr>
            </w:pPr>
            <w:r>
              <w:rPr>
                <w:rFonts w:eastAsia="Times New Roman" w:cs="Times New Roman"/>
              </w:rPr>
              <w:t>转炉煤气</w:t>
            </w:r>
          </w:p>
        </w:tc>
        <w:tc>
          <w:tcPr>
            <w:tcW w:w="595" w:type="pct"/>
            <w:tcBorders>
              <w:top w:val="single" w:color="auto" w:sz="4" w:space="0"/>
              <w:left w:val="single" w:color="auto" w:sz="4" w:space="0"/>
              <w:bottom w:val="single" w:color="auto" w:sz="4" w:space="0"/>
              <w:right w:val="single" w:color="auto" w:sz="4" w:space="0"/>
            </w:tcBorders>
            <w:vAlign w:val="center"/>
          </w:tcPr>
          <w:p w14:paraId="74F98594">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10⁴Nm³</w:t>
            </w:r>
          </w:p>
        </w:tc>
        <w:tc>
          <w:tcPr>
            <w:tcW w:w="1148" w:type="pct"/>
            <w:tcBorders>
              <w:top w:val="single" w:color="auto" w:sz="4" w:space="0"/>
              <w:left w:val="single" w:color="auto" w:sz="4" w:space="0"/>
              <w:bottom w:val="single" w:color="auto" w:sz="4" w:space="0"/>
              <w:right w:val="single" w:color="auto" w:sz="4" w:space="0"/>
            </w:tcBorders>
            <w:vAlign w:val="center"/>
          </w:tcPr>
          <w:p w14:paraId="238670E2">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84.00</w:t>
            </w:r>
          </w:p>
        </w:tc>
        <w:tc>
          <w:tcPr>
            <w:tcW w:w="1150" w:type="pct"/>
            <w:tcBorders>
              <w:top w:val="single" w:color="auto" w:sz="4" w:space="0"/>
              <w:left w:val="single" w:color="auto" w:sz="4" w:space="0"/>
              <w:bottom w:val="single" w:color="auto" w:sz="4" w:space="0"/>
              <w:right w:val="single" w:color="auto" w:sz="4" w:space="0"/>
            </w:tcBorders>
            <w:vAlign w:val="center"/>
          </w:tcPr>
          <w:p w14:paraId="77A55A27">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49.60</w:t>
            </w:r>
          </w:p>
        </w:tc>
        <w:tc>
          <w:tcPr>
            <w:tcW w:w="836" w:type="pct"/>
            <w:tcBorders>
              <w:top w:val="single" w:color="auto" w:sz="4" w:space="0"/>
              <w:left w:val="single" w:color="auto" w:sz="4" w:space="0"/>
              <w:bottom w:val="single" w:color="auto" w:sz="4" w:space="0"/>
              <w:right w:val="single" w:color="auto" w:sz="8" w:space="0"/>
            </w:tcBorders>
            <w:vAlign w:val="center"/>
          </w:tcPr>
          <w:p w14:paraId="1D807205">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99%</w:t>
            </w:r>
          </w:p>
        </w:tc>
      </w:tr>
      <w:tr w14:paraId="6830C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left w:val="single" w:color="auto" w:sz="8" w:space="0"/>
              <w:right w:val="single" w:color="auto" w:sz="4" w:space="0"/>
            </w:tcBorders>
            <w:vAlign w:val="center"/>
          </w:tcPr>
          <w:p w14:paraId="7E6BA5BC">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02C22958">
            <w:pPr>
              <w:pStyle w:val="231"/>
              <w:spacing w:line="240" w:lineRule="auto"/>
              <w:jc w:val="center"/>
              <w:rPr>
                <w:rFonts w:eastAsia="Times New Roman" w:cs="Times New Roman"/>
              </w:rPr>
            </w:pPr>
            <w:r>
              <w:rPr>
                <w:rFonts w:eastAsia="Times New Roman" w:cs="Times New Roman"/>
              </w:rPr>
              <w:t>其他煤气</w:t>
            </w:r>
          </w:p>
        </w:tc>
        <w:tc>
          <w:tcPr>
            <w:tcW w:w="595" w:type="pct"/>
            <w:tcBorders>
              <w:top w:val="single" w:color="auto" w:sz="4" w:space="0"/>
              <w:left w:val="single" w:color="auto" w:sz="4" w:space="0"/>
              <w:bottom w:val="single" w:color="auto" w:sz="4" w:space="0"/>
              <w:right w:val="single" w:color="auto" w:sz="4" w:space="0"/>
            </w:tcBorders>
            <w:vAlign w:val="center"/>
          </w:tcPr>
          <w:p w14:paraId="6DB8B4D0">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10⁴Nm³</w:t>
            </w:r>
          </w:p>
        </w:tc>
        <w:tc>
          <w:tcPr>
            <w:tcW w:w="1148" w:type="pct"/>
            <w:tcBorders>
              <w:top w:val="single" w:color="auto" w:sz="4" w:space="0"/>
              <w:left w:val="single" w:color="auto" w:sz="4" w:space="0"/>
              <w:bottom w:val="single" w:color="auto" w:sz="4" w:space="0"/>
              <w:right w:val="single" w:color="auto" w:sz="4" w:space="0"/>
            </w:tcBorders>
            <w:vAlign w:val="center"/>
          </w:tcPr>
          <w:p w14:paraId="61FD70F8">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52.270</w:t>
            </w:r>
          </w:p>
        </w:tc>
        <w:tc>
          <w:tcPr>
            <w:tcW w:w="1150" w:type="pct"/>
            <w:tcBorders>
              <w:top w:val="single" w:color="auto" w:sz="4" w:space="0"/>
              <w:left w:val="single" w:color="auto" w:sz="4" w:space="0"/>
              <w:bottom w:val="single" w:color="auto" w:sz="4" w:space="0"/>
              <w:right w:val="single" w:color="auto" w:sz="4" w:space="0"/>
            </w:tcBorders>
            <w:vAlign w:val="center"/>
          </w:tcPr>
          <w:p w14:paraId="52E3D01B">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12.2</w:t>
            </w:r>
          </w:p>
        </w:tc>
        <w:tc>
          <w:tcPr>
            <w:tcW w:w="836" w:type="pct"/>
            <w:tcBorders>
              <w:top w:val="single" w:color="auto" w:sz="4" w:space="0"/>
              <w:left w:val="single" w:color="auto" w:sz="4" w:space="0"/>
              <w:bottom w:val="single" w:color="auto" w:sz="4" w:space="0"/>
              <w:right w:val="single" w:color="auto" w:sz="8" w:space="0"/>
            </w:tcBorders>
            <w:vAlign w:val="center"/>
          </w:tcPr>
          <w:p w14:paraId="08B378E0">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99%</w:t>
            </w:r>
          </w:p>
        </w:tc>
      </w:tr>
      <w:tr w14:paraId="28F0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1" w:type="pct"/>
            <w:vMerge w:val="continue"/>
            <w:tcBorders>
              <w:left w:val="single" w:color="auto" w:sz="8" w:space="0"/>
              <w:bottom w:val="single" w:color="auto" w:sz="4" w:space="0"/>
              <w:right w:val="single" w:color="auto" w:sz="4" w:space="0"/>
            </w:tcBorders>
            <w:vAlign w:val="center"/>
          </w:tcPr>
          <w:p w14:paraId="33454382">
            <w:pPr>
              <w:widowControl/>
              <w:adjustRightInd/>
              <w:spacing w:line="240" w:lineRule="auto"/>
              <w:jc w:val="left"/>
              <w:rPr>
                <w:rFonts w:ascii="Times New Roman" w:hAnsi="Times New Roman" w:eastAsia="Times New Roman"/>
                <w:sz w:val="17"/>
                <w:szCs w:val="17"/>
              </w:rPr>
            </w:pPr>
          </w:p>
        </w:tc>
        <w:tc>
          <w:tcPr>
            <w:tcW w:w="770" w:type="pct"/>
            <w:tcBorders>
              <w:top w:val="single" w:color="auto" w:sz="4" w:space="0"/>
              <w:left w:val="single" w:color="auto" w:sz="4" w:space="0"/>
              <w:bottom w:val="single" w:color="auto" w:sz="4" w:space="0"/>
              <w:right w:val="single" w:color="auto" w:sz="4" w:space="0"/>
            </w:tcBorders>
            <w:vAlign w:val="center"/>
          </w:tcPr>
          <w:p w14:paraId="033BB091">
            <w:pPr>
              <w:pStyle w:val="231"/>
              <w:spacing w:line="240" w:lineRule="auto"/>
              <w:jc w:val="center"/>
              <w:rPr>
                <w:rFonts w:eastAsia="Times New Roman" w:cs="Times New Roman"/>
              </w:rPr>
            </w:pPr>
            <w:r>
              <w:rPr>
                <w:rFonts w:eastAsia="Times New Roman" w:cs="Times New Roman"/>
              </w:rPr>
              <w:t>天然气</w:t>
            </w:r>
          </w:p>
        </w:tc>
        <w:tc>
          <w:tcPr>
            <w:tcW w:w="595" w:type="pct"/>
            <w:tcBorders>
              <w:top w:val="single" w:color="auto" w:sz="4" w:space="0"/>
              <w:left w:val="single" w:color="auto" w:sz="4" w:space="0"/>
              <w:bottom w:val="single" w:color="auto" w:sz="4" w:space="0"/>
              <w:right w:val="single" w:color="auto" w:sz="4" w:space="0"/>
            </w:tcBorders>
            <w:vAlign w:val="center"/>
          </w:tcPr>
          <w:p w14:paraId="23F15217">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10⁴Nm³</w:t>
            </w:r>
          </w:p>
        </w:tc>
        <w:tc>
          <w:tcPr>
            <w:tcW w:w="1148" w:type="pct"/>
            <w:tcBorders>
              <w:top w:val="single" w:color="auto" w:sz="4" w:space="0"/>
              <w:left w:val="single" w:color="auto" w:sz="4" w:space="0"/>
              <w:bottom w:val="single" w:color="auto" w:sz="4" w:space="0"/>
              <w:right w:val="single" w:color="auto" w:sz="4" w:space="0"/>
            </w:tcBorders>
            <w:vAlign w:val="center"/>
          </w:tcPr>
          <w:p w14:paraId="7BE704A9">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389.31</w:t>
            </w:r>
          </w:p>
        </w:tc>
        <w:tc>
          <w:tcPr>
            <w:tcW w:w="1150" w:type="pct"/>
            <w:tcBorders>
              <w:top w:val="single" w:color="auto" w:sz="4" w:space="0"/>
              <w:left w:val="single" w:color="auto" w:sz="4" w:space="0"/>
              <w:bottom w:val="single" w:color="auto" w:sz="4" w:space="0"/>
              <w:right w:val="single" w:color="auto" w:sz="4" w:space="0"/>
            </w:tcBorders>
            <w:vAlign w:val="center"/>
          </w:tcPr>
          <w:p w14:paraId="68AAC319">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15.3</w:t>
            </w:r>
          </w:p>
        </w:tc>
        <w:tc>
          <w:tcPr>
            <w:tcW w:w="836" w:type="pct"/>
            <w:tcBorders>
              <w:top w:val="single" w:color="auto" w:sz="4" w:space="0"/>
              <w:left w:val="single" w:color="auto" w:sz="4" w:space="0"/>
              <w:bottom w:val="single" w:color="auto" w:sz="4" w:space="0"/>
              <w:right w:val="single" w:color="auto" w:sz="8" w:space="0"/>
            </w:tcBorders>
            <w:vAlign w:val="center"/>
          </w:tcPr>
          <w:p w14:paraId="7A0B9216">
            <w:pPr>
              <w:pStyle w:val="231"/>
              <w:spacing w:line="240" w:lineRule="auto"/>
              <w:jc w:val="center"/>
              <w:rPr>
                <w:rFonts w:ascii="Times New Roman" w:hAnsi="Times New Roman" w:eastAsia="Times New Roman" w:cs="Times New Roman"/>
              </w:rPr>
            </w:pPr>
            <w:r>
              <w:rPr>
                <w:rFonts w:ascii="Times New Roman" w:hAnsi="Times New Roman" w:eastAsia="Times New Roman" w:cs="Times New Roman"/>
              </w:rPr>
              <w:t>99%</w:t>
            </w:r>
          </w:p>
        </w:tc>
      </w:tr>
      <w:tr w14:paraId="61B4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5000" w:type="pct"/>
            <w:gridSpan w:val="6"/>
            <w:tcBorders>
              <w:top w:val="single" w:color="auto" w:sz="8" w:space="0"/>
              <w:left w:val="single" w:color="auto" w:sz="8" w:space="0"/>
              <w:bottom w:val="single" w:color="auto" w:sz="8" w:space="0"/>
              <w:right w:val="single" w:color="auto" w:sz="8" w:space="0"/>
            </w:tcBorders>
            <w:vAlign w:val="center"/>
          </w:tcPr>
          <w:p w14:paraId="24F14777">
            <w:pPr>
              <w:pStyle w:val="180"/>
              <w:numPr>
                <w:ilvl w:val="0"/>
                <w:numId w:val="51"/>
              </w:numPr>
              <w:rPr>
                <w:rFonts w:eastAsia="Times New Roman"/>
              </w:rPr>
            </w:pPr>
            <w:r>
              <w:rPr>
                <w:rFonts w:eastAsia="Times New Roman"/>
              </w:rPr>
              <w:t>洗精煤、其他洗煤、焦炭、原油、燃料油、汽油、柴油、一般煤油、液化石油气、焦油、粗苯、转炉煤气、其他煤气、天然气低位发热量数据来源为《中国能源统计年鉴</w:t>
            </w:r>
            <w:r>
              <w:rPr>
                <w:rFonts w:ascii="Times New Roman" w:eastAsia="Times New Roman"/>
              </w:rPr>
              <w:t>2013</w:t>
            </w:r>
            <w:r>
              <w:rPr>
                <w:rFonts w:hint="eastAsia" w:hAnsi="宋体" w:eastAsia="Times New Roman" w:cs="宋体"/>
              </w:rPr>
              <w:t>》</w:t>
            </w:r>
            <w:r>
              <w:rPr>
                <w:rFonts w:eastAsia="Times New Roman"/>
              </w:rPr>
              <w:t>。</w:t>
            </w:r>
          </w:p>
          <w:p w14:paraId="574F6769">
            <w:pPr>
              <w:pStyle w:val="180"/>
              <w:numPr>
                <w:ilvl w:val="0"/>
                <w:numId w:val="51"/>
              </w:numPr>
              <w:rPr>
                <w:rFonts w:eastAsia="Times New Roman"/>
              </w:rPr>
            </w:pPr>
            <w:r>
              <w:rPr>
                <w:rFonts w:eastAsia="Times New Roman"/>
              </w:rPr>
              <w:t>无烟煤、烟煤、褐煤、洗精煤、其他洗煤、其他煤制品、原油、燃料油、汽油、柴油、一般煤油、焦炉煤气、转炉煤气、其他煤气、天然气的单位热值含碳量及碳氧化率数据来源为《省级温室气体清单编制指南</w:t>
            </w:r>
            <w:r>
              <w:rPr>
                <w:rFonts w:ascii="Times New Roman" w:eastAsia="Times New Roman"/>
              </w:rPr>
              <w:t>(</w:t>
            </w:r>
            <w:r>
              <w:rPr>
                <w:rFonts w:hint="eastAsia" w:hAnsi="宋体" w:eastAsia="Times New Roman" w:cs="宋体"/>
              </w:rPr>
              <w:t>试行</w:t>
            </w:r>
            <w:r>
              <w:rPr>
                <w:rFonts w:ascii="Times New Roman" w:eastAsia="Times New Roman"/>
              </w:rPr>
              <w:t>)</w:t>
            </w:r>
            <w:r>
              <w:rPr>
                <w:rFonts w:hint="eastAsia" w:hAnsi="宋体" w:eastAsia="Times New Roman" w:cs="宋体"/>
              </w:rPr>
              <w:t>》</w:t>
            </w:r>
            <w:r>
              <w:rPr>
                <w:rFonts w:ascii="Times New Roman" w:eastAsia="Times New Roman"/>
              </w:rPr>
              <w:t>,</w:t>
            </w:r>
            <w:r>
              <w:rPr>
                <w:rFonts w:hint="eastAsia" w:hAnsi="宋体" w:eastAsia="Times New Roman" w:cs="宋体"/>
              </w:rPr>
              <w:t>烟煤、焦炉煤气的低位发热量和焦炭的碳氧化率数据来源为《企业温室气体排放核算与报告填报说明钢铁生产</w:t>
            </w:r>
            <w:r>
              <w:rPr>
                <w:rFonts w:eastAsia="Times New Roman"/>
              </w:rPr>
              <w:t>》</w:t>
            </w:r>
            <w:r>
              <w:rPr>
                <w:rFonts w:hint="eastAsia" w:hAnsi="宋体" w:eastAsia="Times New Roman" w:cs="宋体"/>
              </w:rPr>
              <w:t>。</w:t>
            </w:r>
          </w:p>
          <w:p w14:paraId="1C3F166A">
            <w:pPr>
              <w:pStyle w:val="180"/>
              <w:numPr>
                <w:ilvl w:val="0"/>
                <w:numId w:val="51"/>
              </w:numPr>
              <w:rPr>
                <w:rFonts w:eastAsia="Times New Roman"/>
              </w:rPr>
            </w:pPr>
            <w:r>
              <w:rPr>
                <w:rFonts w:eastAsia="Times New Roman"/>
              </w:rPr>
              <w:t>无烟煤、褐煤、液化天然气低位的发热量，液化天然气、液化石油气、焦油的单位热值含碳量来源为《</w:t>
            </w:r>
            <w:r>
              <w:rPr>
                <w:rFonts w:ascii="Times New Roman" w:eastAsia="Times New Roman"/>
              </w:rPr>
              <w:t>2006</w:t>
            </w:r>
            <w:r>
              <w:rPr>
                <w:rFonts w:hint="eastAsia" w:hAnsi="宋体" w:eastAsia="Times New Roman" w:cs="宋体"/>
              </w:rPr>
              <w:t>年</w:t>
            </w:r>
            <w:r>
              <w:rPr>
                <w:rFonts w:ascii="Times New Roman" w:eastAsia="Times New Roman"/>
              </w:rPr>
              <w:t>IPCC</w:t>
            </w:r>
            <w:r>
              <w:rPr>
                <w:rFonts w:hint="eastAsia" w:hAnsi="宋体" w:eastAsia="Times New Roman" w:cs="宋体"/>
              </w:rPr>
              <w:t>国家温室气体清单指南》</w:t>
            </w:r>
            <w:r>
              <w:rPr>
                <w:rFonts w:eastAsia="Times New Roman"/>
              </w:rPr>
              <w:t>。</w:t>
            </w:r>
          </w:p>
          <w:p w14:paraId="3B4BB03B">
            <w:pPr>
              <w:pStyle w:val="180"/>
              <w:numPr>
                <w:ilvl w:val="0"/>
                <w:numId w:val="51"/>
              </w:numPr>
              <w:rPr>
                <w:rFonts w:eastAsia="Times New Roman"/>
              </w:rPr>
            </w:pPr>
            <w:r>
              <w:rPr>
                <w:rFonts w:eastAsia="Times New Roman"/>
              </w:rPr>
              <w:t>其他煤制品、高炉煤气的低位发热量，粗苯的单位热值含碳量数据来源为《中国温室气体清单研究》</w:t>
            </w:r>
            <w:r>
              <w:rPr>
                <w:rFonts w:ascii="Times New Roman" w:eastAsia="Times New Roman"/>
              </w:rPr>
              <w:t>(2007)</w:t>
            </w:r>
            <w:r>
              <w:rPr>
                <w:rFonts w:eastAsia="Times New Roman"/>
              </w:rPr>
              <w:t>。</w:t>
            </w:r>
          </w:p>
        </w:tc>
      </w:tr>
    </w:tbl>
    <w:p w14:paraId="6B22BA83">
      <w:pPr>
        <w:pStyle w:val="78"/>
        <w:spacing w:before="120" w:after="120"/>
      </w:pPr>
      <w:bookmarkStart w:id="172" w:name="_Toc219754406"/>
      <w:bookmarkStart w:id="173" w:name="_Toc219754442"/>
      <w:r>
        <w:rPr>
          <w:rFonts w:hint="eastAsia"/>
        </w:rPr>
        <w:t>生产过程排放因子缺省值</w:t>
      </w:r>
      <w:bookmarkEnd w:id="172"/>
      <w:bookmarkEnd w:id="173"/>
    </w:p>
    <w:p w14:paraId="2E5A1BF7">
      <w:pPr>
        <w:pStyle w:val="56"/>
        <w:ind w:firstLine="420"/>
      </w:pPr>
      <w:r>
        <w:rPr>
          <w:rFonts w:hint="eastAsia"/>
        </w:rPr>
        <w:t>常用生产过程排放因子缺省值见表E.3。</w:t>
      </w:r>
    </w:p>
    <w:p w14:paraId="51EFAD9E">
      <w:pPr>
        <w:pStyle w:val="77"/>
        <w:spacing w:before="120" w:after="120"/>
      </w:pPr>
      <w:r>
        <w:rPr>
          <w:rFonts w:hint="eastAsia"/>
        </w:rPr>
        <w:t>过程排放因子缺省值</w:t>
      </w:r>
    </w:p>
    <w:tbl>
      <w:tblPr>
        <w:tblStyle w:val="230"/>
        <w:tblW w:w="5000" w:type="pct"/>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3073"/>
        <w:gridCol w:w="3069"/>
        <w:gridCol w:w="3232"/>
      </w:tblGrid>
      <w:tr w14:paraId="5B7D96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1639" w:type="pct"/>
            <w:tcBorders>
              <w:top w:val="single" w:color="000000" w:sz="8" w:space="0"/>
              <w:bottom w:val="single" w:color="000000" w:sz="8" w:space="0"/>
            </w:tcBorders>
            <w:vAlign w:val="center"/>
          </w:tcPr>
          <w:p w14:paraId="72E46CE6">
            <w:pPr>
              <w:widowControl/>
              <w:autoSpaceDE w:val="0"/>
              <w:autoSpaceDN w:val="0"/>
              <w:adjustRightInd/>
              <w:spacing w:line="240" w:lineRule="auto"/>
              <w:jc w:val="center"/>
              <w:rPr>
                <w:rFonts w:ascii="Times New Roman" w:hAnsi="Times New Roman" w:eastAsia="Times New Roman"/>
                <w:kern w:val="0"/>
                <w:sz w:val="18"/>
              </w:rPr>
            </w:pPr>
            <w:r>
              <w:rPr>
                <w:rFonts w:ascii="宋体" w:hAnsi="宋体" w:eastAsia="Times New Roman"/>
                <w:kern w:val="0"/>
                <w:sz w:val="18"/>
              </w:rPr>
              <w:t>名</w:t>
            </w:r>
            <w:r>
              <w:rPr>
                <w:rFonts w:ascii="Times New Roman" w:hAnsi="Times New Roman" w:eastAsia="Times New Roman"/>
                <w:kern w:val="0"/>
                <w:sz w:val="18"/>
              </w:rPr>
              <w:t xml:space="preserve">  </w:t>
            </w:r>
            <w:r>
              <w:rPr>
                <w:rFonts w:ascii="宋体" w:hAnsi="宋体" w:eastAsia="Times New Roman"/>
                <w:kern w:val="0"/>
                <w:sz w:val="18"/>
              </w:rPr>
              <w:t>称</w:t>
            </w:r>
          </w:p>
        </w:tc>
        <w:tc>
          <w:tcPr>
            <w:tcW w:w="1637" w:type="pct"/>
            <w:tcBorders>
              <w:top w:val="single" w:color="000000" w:sz="8" w:space="0"/>
              <w:bottom w:val="single" w:color="000000" w:sz="8" w:space="0"/>
            </w:tcBorders>
            <w:vAlign w:val="center"/>
          </w:tcPr>
          <w:p w14:paraId="40329FFA">
            <w:pPr>
              <w:widowControl/>
              <w:autoSpaceDE w:val="0"/>
              <w:autoSpaceDN w:val="0"/>
              <w:adjustRightInd/>
              <w:spacing w:line="240" w:lineRule="auto"/>
              <w:jc w:val="center"/>
              <w:rPr>
                <w:rFonts w:ascii="Times New Roman" w:hAnsi="Times New Roman" w:eastAsia="Times New Roman"/>
                <w:kern w:val="0"/>
                <w:sz w:val="18"/>
              </w:rPr>
            </w:pPr>
            <w:r>
              <w:rPr>
                <w:rFonts w:ascii="宋体" w:hAnsi="宋体" w:eastAsia="Times New Roman"/>
                <w:kern w:val="0"/>
                <w:sz w:val="18"/>
              </w:rPr>
              <w:t>计量单位</w:t>
            </w:r>
          </w:p>
        </w:tc>
        <w:tc>
          <w:tcPr>
            <w:tcW w:w="1724" w:type="pct"/>
            <w:tcBorders>
              <w:top w:val="single" w:color="000000" w:sz="8" w:space="0"/>
              <w:bottom w:val="single" w:color="000000" w:sz="8" w:space="0"/>
            </w:tcBorders>
            <w:vAlign w:val="center"/>
          </w:tcPr>
          <w:p w14:paraId="71300D5D">
            <w:pPr>
              <w:widowControl/>
              <w:autoSpaceDE w:val="0"/>
              <w:autoSpaceDN w:val="0"/>
              <w:adjustRightInd/>
              <w:spacing w:line="240" w:lineRule="auto"/>
              <w:jc w:val="center"/>
              <w:rPr>
                <w:rFonts w:ascii="Times New Roman" w:hAnsi="Times New Roman" w:eastAsia="Times New Roman"/>
                <w:kern w:val="0"/>
                <w:sz w:val="18"/>
              </w:rPr>
            </w:pPr>
            <w:r>
              <w:rPr>
                <w:rFonts w:ascii="Times New Roman" w:hAnsi="Times New Roman" w:eastAsia="Times New Roman"/>
                <w:kern w:val="0"/>
                <w:sz w:val="18"/>
              </w:rPr>
              <w:t>CO</w:t>
            </w:r>
            <w:r>
              <w:rPr>
                <w:rFonts w:ascii="Times New Roman" w:hAnsi="Times New Roman" w:eastAsia="Times New Roman"/>
                <w:kern w:val="0"/>
                <w:sz w:val="18"/>
                <w:vertAlign w:val="subscript"/>
              </w:rPr>
              <w:t>2</w:t>
            </w:r>
            <w:r>
              <w:rPr>
                <w:rFonts w:ascii="宋体" w:hAnsi="宋体" w:eastAsia="Times New Roman"/>
                <w:kern w:val="0"/>
                <w:sz w:val="18"/>
              </w:rPr>
              <w:t>排放因子</w:t>
            </w:r>
            <w:r>
              <w:rPr>
                <w:rFonts w:ascii="Times New Roman" w:hAnsi="Times New Roman" w:eastAsia="Times New Roman"/>
                <w:kern w:val="0"/>
                <w:sz w:val="18"/>
              </w:rPr>
              <w:t>(tCO₂/t)</w:t>
            </w:r>
          </w:p>
        </w:tc>
      </w:tr>
      <w:tr w14:paraId="003CB0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1639" w:type="pct"/>
            <w:tcBorders>
              <w:top w:val="single" w:color="000000" w:sz="8" w:space="0"/>
            </w:tcBorders>
            <w:vAlign w:val="center"/>
          </w:tcPr>
          <w:p w14:paraId="7C1402E5">
            <w:pPr>
              <w:widowControl/>
              <w:autoSpaceDE w:val="0"/>
              <w:autoSpaceDN w:val="0"/>
              <w:adjustRightInd/>
              <w:spacing w:line="240" w:lineRule="auto"/>
              <w:jc w:val="center"/>
              <w:rPr>
                <w:rFonts w:ascii="Times New Roman" w:hAnsi="Times New Roman" w:eastAsia="Times New Roman"/>
                <w:kern w:val="0"/>
                <w:sz w:val="18"/>
              </w:rPr>
            </w:pPr>
            <w:r>
              <w:rPr>
                <w:rFonts w:ascii="宋体" w:hAnsi="宋体" w:eastAsia="Times New Roman"/>
                <w:kern w:val="0"/>
                <w:sz w:val="18"/>
              </w:rPr>
              <w:t>碳酸锰</w:t>
            </w:r>
          </w:p>
        </w:tc>
        <w:tc>
          <w:tcPr>
            <w:tcW w:w="1637" w:type="pct"/>
            <w:tcBorders>
              <w:top w:val="single" w:color="000000" w:sz="8" w:space="0"/>
            </w:tcBorders>
            <w:vAlign w:val="center"/>
          </w:tcPr>
          <w:p w14:paraId="26C0149D">
            <w:pPr>
              <w:widowControl/>
              <w:autoSpaceDE w:val="0"/>
              <w:autoSpaceDN w:val="0"/>
              <w:adjustRightInd/>
              <w:spacing w:line="240" w:lineRule="auto"/>
              <w:jc w:val="center"/>
              <w:rPr>
                <w:rFonts w:ascii="Times New Roman" w:hAnsi="Times New Roman" w:eastAsia="Times New Roman"/>
                <w:kern w:val="0"/>
                <w:sz w:val="18"/>
              </w:rPr>
            </w:pPr>
            <w:r>
              <w:rPr>
                <w:rFonts w:ascii="Times New Roman" w:hAnsi="Times New Roman" w:eastAsia="Times New Roman"/>
                <w:kern w:val="0"/>
                <w:sz w:val="18"/>
              </w:rPr>
              <w:t>t</w:t>
            </w:r>
          </w:p>
        </w:tc>
        <w:tc>
          <w:tcPr>
            <w:tcW w:w="1724" w:type="pct"/>
            <w:tcBorders>
              <w:top w:val="single" w:color="000000" w:sz="8" w:space="0"/>
            </w:tcBorders>
            <w:vAlign w:val="center"/>
          </w:tcPr>
          <w:p w14:paraId="31E3839B">
            <w:pPr>
              <w:widowControl/>
              <w:autoSpaceDE w:val="0"/>
              <w:autoSpaceDN w:val="0"/>
              <w:adjustRightInd/>
              <w:spacing w:line="240" w:lineRule="auto"/>
              <w:jc w:val="center"/>
              <w:rPr>
                <w:rFonts w:ascii="Times New Roman" w:hAnsi="Times New Roman" w:eastAsia="Times New Roman"/>
                <w:kern w:val="0"/>
                <w:sz w:val="18"/>
              </w:rPr>
            </w:pPr>
            <w:r>
              <w:rPr>
                <w:rFonts w:ascii="Times New Roman" w:hAnsi="Times New Roman" w:eastAsia="Times New Roman"/>
                <w:kern w:val="0"/>
                <w:sz w:val="18"/>
              </w:rPr>
              <w:t>0.383</w:t>
            </w:r>
          </w:p>
        </w:tc>
      </w:tr>
      <w:tr w14:paraId="1B3BF5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1639" w:type="pct"/>
            <w:vAlign w:val="center"/>
          </w:tcPr>
          <w:p w14:paraId="334AB94C">
            <w:pPr>
              <w:widowControl/>
              <w:autoSpaceDE w:val="0"/>
              <w:autoSpaceDN w:val="0"/>
              <w:adjustRightInd/>
              <w:spacing w:line="240" w:lineRule="auto"/>
              <w:jc w:val="center"/>
              <w:rPr>
                <w:rFonts w:ascii="Times New Roman" w:hAnsi="Times New Roman" w:eastAsia="Times New Roman"/>
                <w:kern w:val="0"/>
                <w:sz w:val="18"/>
              </w:rPr>
            </w:pPr>
            <w:r>
              <w:rPr>
                <w:rFonts w:ascii="宋体" w:hAnsi="宋体" w:eastAsia="Times New Roman"/>
                <w:kern w:val="0"/>
                <w:sz w:val="18"/>
              </w:rPr>
              <w:t>石灰石</w:t>
            </w:r>
          </w:p>
        </w:tc>
        <w:tc>
          <w:tcPr>
            <w:tcW w:w="1637" w:type="pct"/>
            <w:vAlign w:val="center"/>
          </w:tcPr>
          <w:p w14:paraId="54B359F3">
            <w:pPr>
              <w:widowControl/>
              <w:autoSpaceDE w:val="0"/>
              <w:autoSpaceDN w:val="0"/>
              <w:adjustRightInd/>
              <w:spacing w:line="240" w:lineRule="auto"/>
              <w:jc w:val="center"/>
              <w:rPr>
                <w:rFonts w:ascii="Times New Roman" w:hAnsi="Times New Roman" w:eastAsia="Times New Roman"/>
                <w:kern w:val="0"/>
                <w:sz w:val="18"/>
              </w:rPr>
            </w:pPr>
            <w:r>
              <w:rPr>
                <w:rFonts w:ascii="Times New Roman" w:hAnsi="Times New Roman" w:eastAsia="Times New Roman"/>
                <w:kern w:val="0"/>
                <w:sz w:val="18"/>
              </w:rPr>
              <w:t>t</w:t>
            </w:r>
          </w:p>
        </w:tc>
        <w:tc>
          <w:tcPr>
            <w:tcW w:w="1724" w:type="pct"/>
            <w:vAlign w:val="center"/>
          </w:tcPr>
          <w:p w14:paraId="7F8E901F">
            <w:pPr>
              <w:widowControl/>
              <w:autoSpaceDE w:val="0"/>
              <w:autoSpaceDN w:val="0"/>
              <w:adjustRightInd/>
              <w:spacing w:line="240" w:lineRule="auto"/>
              <w:jc w:val="center"/>
              <w:rPr>
                <w:rFonts w:ascii="Times New Roman" w:hAnsi="Times New Roman" w:eastAsia="Times New Roman"/>
                <w:kern w:val="0"/>
                <w:sz w:val="18"/>
              </w:rPr>
            </w:pPr>
            <w:r>
              <w:rPr>
                <w:rFonts w:ascii="Times New Roman" w:hAnsi="Times New Roman" w:eastAsia="Times New Roman"/>
                <w:kern w:val="0"/>
                <w:sz w:val="18"/>
              </w:rPr>
              <w:t>0.440</w:t>
            </w:r>
          </w:p>
        </w:tc>
      </w:tr>
    </w:tbl>
    <w:p w14:paraId="663648B2">
      <w:pPr>
        <w:pStyle w:val="78"/>
        <w:spacing w:before="120" w:after="120"/>
      </w:pPr>
      <w:bookmarkStart w:id="174" w:name="_Toc219754407"/>
      <w:bookmarkStart w:id="175" w:name="_Toc219754443"/>
      <w:r>
        <w:rPr>
          <w:rFonts w:hint="eastAsia"/>
        </w:rPr>
        <w:t>其他参数缺省值</w:t>
      </w:r>
      <w:bookmarkEnd w:id="174"/>
      <w:bookmarkEnd w:id="175"/>
    </w:p>
    <w:p w14:paraId="4B8FD098">
      <w:pPr>
        <w:pStyle w:val="56"/>
        <w:ind w:firstLine="420"/>
      </w:pPr>
      <w:r>
        <w:rPr>
          <w:rFonts w:hint="eastAsia"/>
        </w:rPr>
        <w:t>其他参数缺省值见表E.4。</w:t>
      </w:r>
    </w:p>
    <w:p w14:paraId="674241B1">
      <w:pPr>
        <w:pStyle w:val="77"/>
        <w:spacing w:before="120" w:after="120"/>
      </w:pPr>
      <w:r>
        <w:rPr>
          <w:rFonts w:hint="eastAsia"/>
        </w:rPr>
        <w:t>其他参数缺省值</w:t>
      </w:r>
    </w:p>
    <w:tbl>
      <w:tblPr>
        <w:tblStyle w:val="230"/>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3078"/>
        <w:gridCol w:w="3065"/>
        <w:gridCol w:w="3231"/>
      </w:tblGrid>
      <w:tr w14:paraId="5FF908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c>
          <w:tcPr>
            <w:tcW w:w="1642" w:type="pct"/>
            <w:tcBorders>
              <w:top w:val="single" w:color="000000" w:sz="8" w:space="0"/>
              <w:bottom w:val="single" w:color="000000" w:sz="8" w:space="0"/>
            </w:tcBorders>
            <w:vAlign w:val="center"/>
          </w:tcPr>
          <w:p w14:paraId="73DF0168">
            <w:pPr>
              <w:widowControl/>
              <w:autoSpaceDE w:val="0"/>
              <w:autoSpaceDN w:val="0"/>
              <w:adjustRightInd/>
              <w:spacing w:line="240" w:lineRule="auto"/>
              <w:jc w:val="center"/>
              <w:rPr>
                <w:rFonts w:ascii="Times New Roman" w:hAnsi="Times New Roman" w:eastAsia="Times New Roman"/>
                <w:kern w:val="0"/>
                <w:sz w:val="18"/>
              </w:rPr>
            </w:pPr>
            <w:r>
              <w:rPr>
                <w:rFonts w:ascii="宋体" w:hAnsi="宋体" w:eastAsia="Times New Roman"/>
                <w:kern w:val="0"/>
                <w:sz w:val="18"/>
              </w:rPr>
              <w:t>名称</w:t>
            </w:r>
          </w:p>
        </w:tc>
        <w:tc>
          <w:tcPr>
            <w:tcW w:w="1635" w:type="pct"/>
            <w:tcBorders>
              <w:top w:val="single" w:color="000000" w:sz="8" w:space="0"/>
              <w:bottom w:val="single" w:color="000000" w:sz="8" w:space="0"/>
            </w:tcBorders>
            <w:vAlign w:val="center"/>
          </w:tcPr>
          <w:p w14:paraId="4D45F861">
            <w:pPr>
              <w:widowControl/>
              <w:autoSpaceDE w:val="0"/>
              <w:autoSpaceDN w:val="0"/>
              <w:adjustRightInd/>
              <w:spacing w:line="240" w:lineRule="auto"/>
              <w:jc w:val="center"/>
              <w:rPr>
                <w:rFonts w:ascii="Times New Roman" w:hAnsi="Times New Roman" w:eastAsia="Times New Roman"/>
                <w:kern w:val="0"/>
                <w:sz w:val="18"/>
              </w:rPr>
            </w:pPr>
            <w:r>
              <w:rPr>
                <w:rFonts w:ascii="宋体" w:hAnsi="宋体" w:eastAsia="Times New Roman"/>
                <w:kern w:val="0"/>
                <w:sz w:val="18"/>
              </w:rPr>
              <w:t>单位</w:t>
            </w:r>
          </w:p>
        </w:tc>
        <w:tc>
          <w:tcPr>
            <w:tcW w:w="1723" w:type="pct"/>
            <w:tcBorders>
              <w:top w:val="single" w:color="000000" w:sz="8" w:space="0"/>
              <w:bottom w:val="single" w:color="000000" w:sz="8" w:space="0"/>
            </w:tcBorders>
            <w:vAlign w:val="center"/>
          </w:tcPr>
          <w:p w14:paraId="105675FC">
            <w:pPr>
              <w:widowControl/>
              <w:autoSpaceDE w:val="0"/>
              <w:autoSpaceDN w:val="0"/>
              <w:adjustRightInd/>
              <w:spacing w:line="240" w:lineRule="auto"/>
              <w:jc w:val="center"/>
              <w:rPr>
                <w:rFonts w:ascii="Times New Roman" w:hAnsi="Times New Roman" w:eastAsia="Times New Roman"/>
                <w:kern w:val="0"/>
                <w:sz w:val="18"/>
              </w:rPr>
            </w:pPr>
            <w:r>
              <w:rPr>
                <w:rFonts w:ascii="Times New Roman" w:hAnsi="Times New Roman" w:eastAsia="Times New Roman"/>
                <w:kern w:val="0"/>
                <w:sz w:val="18"/>
              </w:rPr>
              <w:t>CO₂</w:t>
            </w:r>
            <w:r>
              <w:rPr>
                <w:rFonts w:ascii="宋体" w:hAnsi="宋体" w:eastAsia="Times New Roman"/>
                <w:kern w:val="0"/>
                <w:sz w:val="18"/>
              </w:rPr>
              <w:t>排放因子</w:t>
            </w:r>
          </w:p>
        </w:tc>
      </w:tr>
      <w:tr w14:paraId="003CD0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2" w:type="pct"/>
            <w:tcBorders>
              <w:top w:val="single" w:color="000000" w:sz="8" w:space="0"/>
            </w:tcBorders>
            <w:vAlign w:val="center"/>
          </w:tcPr>
          <w:p w14:paraId="6FD0D302">
            <w:pPr>
              <w:widowControl/>
              <w:autoSpaceDE w:val="0"/>
              <w:autoSpaceDN w:val="0"/>
              <w:adjustRightInd/>
              <w:spacing w:line="240" w:lineRule="auto"/>
              <w:jc w:val="center"/>
              <w:rPr>
                <w:rFonts w:ascii="Times New Roman" w:hAnsi="Times New Roman" w:eastAsia="Times New Roman"/>
                <w:kern w:val="0"/>
                <w:sz w:val="18"/>
              </w:rPr>
            </w:pPr>
            <w:r>
              <w:rPr>
                <w:rFonts w:ascii="宋体" w:hAnsi="宋体" w:eastAsia="Times New Roman"/>
                <w:kern w:val="0"/>
                <w:sz w:val="18"/>
              </w:rPr>
              <w:t>电力</w:t>
            </w:r>
          </w:p>
        </w:tc>
        <w:tc>
          <w:tcPr>
            <w:tcW w:w="1635" w:type="pct"/>
            <w:tcBorders>
              <w:top w:val="single" w:color="000000" w:sz="8" w:space="0"/>
            </w:tcBorders>
            <w:vAlign w:val="center"/>
          </w:tcPr>
          <w:p w14:paraId="393BF534">
            <w:pPr>
              <w:widowControl/>
              <w:autoSpaceDE w:val="0"/>
              <w:autoSpaceDN w:val="0"/>
              <w:adjustRightInd/>
              <w:spacing w:line="240" w:lineRule="auto"/>
              <w:jc w:val="center"/>
              <w:rPr>
                <w:rFonts w:ascii="Times New Roman" w:hAnsi="Times New Roman" w:eastAsia="Times New Roman"/>
                <w:kern w:val="0"/>
                <w:sz w:val="18"/>
              </w:rPr>
            </w:pPr>
            <w:r>
              <w:rPr>
                <w:rFonts w:ascii="Times New Roman" w:hAnsi="Times New Roman" w:eastAsia="Times New Roman"/>
                <w:kern w:val="0"/>
                <w:sz w:val="18"/>
              </w:rPr>
              <w:t>tCO₂/MWh</w:t>
            </w:r>
          </w:p>
        </w:tc>
        <w:tc>
          <w:tcPr>
            <w:tcW w:w="1723" w:type="pct"/>
            <w:tcBorders>
              <w:top w:val="single" w:color="000000" w:sz="8" w:space="0"/>
            </w:tcBorders>
            <w:vAlign w:val="center"/>
          </w:tcPr>
          <w:p w14:paraId="4C3AA0EF">
            <w:pPr>
              <w:widowControl/>
              <w:autoSpaceDE w:val="0"/>
              <w:autoSpaceDN w:val="0"/>
              <w:adjustRightInd/>
              <w:spacing w:line="240" w:lineRule="auto"/>
              <w:jc w:val="center"/>
              <w:rPr>
                <w:rFonts w:ascii="Times New Roman" w:hAnsi="Times New Roman" w:eastAsia="Times New Roman"/>
                <w:kern w:val="0"/>
                <w:sz w:val="18"/>
              </w:rPr>
            </w:pPr>
            <w:r>
              <w:rPr>
                <w:rFonts w:ascii="宋体" w:hAnsi="宋体" w:eastAsia="Times New Roman"/>
                <w:kern w:val="0"/>
                <w:sz w:val="18"/>
              </w:rPr>
              <w:t>采用国家最新发布的碳足迹因子</w:t>
            </w:r>
          </w:p>
        </w:tc>
      </w:tr>
      <w:tr w14:paraId="0A0DE4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642" w:type="pct"/>
            <w:vAlign w:val="center"/>
          </w:tcPr>
          <w:p w14:paraId="382642B2">
            <w:pPr>
              <w:widowControl/>
              <w:autoSpaceDE w:val="0"/>
              <w:autoSpaceDN w:val="0"/>
              <w:adjustRightInd/>
              <w:spacing w:line="240" w:lineRule="auto"/>
              <w:jc w:val="center"/>
              <w:rPr>
                <w:rFonts w:ascii="Times New Roman" w:hAnsi="Times New Roman" w:eastAsia="Times New Roman"/>
                <w:kern w:val="0"/>
                <w:sz w:val="18"/>
              </w:rPr>
            </w:pPr>
            <w:r>
              <w:rPr>
                <w:rFonts w:ascii="宋体" w:hAnsi="宋体" w:eastAsia="Times New Roman"/>
                <w:kern w:val="0"/>
                <w:sz w:val="18"/>
              </w:rPr>
              <w:t>热力</w:t>
            </w:r>
          </w:p>
        </w:tc>
        <w:tc>
          <w:tcPr>
            <w:tcW w:w="1635" w:type="pct"/>
            <w:vAlign w:val="center"/>
          </w:tcPr>
          <w:p w14:paraId="2ED98347">
            <w:pPr>
              <w:widowControl/>
              <w:autoSpaceDE w:val="0"/>
              <w:autoSpaceDN w:val="0"/>
              <w:adjustRightInd/>
              <w:spacing w:line="240" w:lineRule="auto"/>
              <w:jc w:val="center"/>
              <w:rPr>
                <w:rFonts w:ascii="Times New Roman" w:hAnsi="Times New Roman" w:eastAsia="Times New Roman"/>
                <w:kern w:val="0"/>
                <w:sz w:val="18"/>
              </w:rPr>
            </w:pPr>
            <w:r>
              <w:rPr>
                <w:rFonts w:ascii="Times New Roman" w:hAnsi="Times New Roman" w:eastAsia="Times New Roman"/>
                <w:kern w:val="0"/>
                <w:sz w:val="18"/>
              </w:rPr>
              <w:t>tCO₂/GJ</w:t>
            </w:r>
          </w:p>
        </w:tc>
        <w:tc>
          <w:tcPr>
            <w:tcW w:w="1723" w:type="pct"/>
            <w:vAlign w:val="center"/>
          </w:tcPr>
          <w:p w14:paraId="698E1022">
            <w:pPr>
              <w:widowControl/>
              <w:autoSpaceDE w:val="0"/>
              <w:autoSpaceDN w:val="0"/>
              <w:adjustRightInd/>
              <w:spacing w:line="240" w:lineRule="auto"/>
              <w:jc w:val="center"/>
              <w:rPr>
                <w:rFonts w:ascii="Times New Roman" w:hAnsi="Times New Roman" w:eastAsia="Times New Roman"/>
                <w:kern w:val="0"/>
                <w:sz w:val="18"/>
              </w:rPr>
            </w:pPr>
            <w:r>
              <w:rPr>
                <w:rFonts w:ascii="Times New Roman" w:hAnsi="Times New Roman" w:eastAsia="Times New Roman"/>
                <w:kern w:val="0"/>
                <w:sz w:val="18"/>
              </w:rPr>
              <w:t>0.110</w:t>
            </w:r>
          </w:p>
        </w:tc>
      </w:tr>
    </w:tbl>
    <w:p w14:paraId="51FB88A1">
      <w:pPr>
        <w:pStyle w:val="56"/>
        <w:ind w:firstLine="420"/>
        <w:sectPr>
          <w:pgSz w:w="11906" w:h="16838"/>
          <w:pgMar w:top="1928" w:right="1134" w:bottom="1134" w:left="1134" w:header="1418" w:footer="1134" w:gutter="284"/>
          <w:cols w:space="425" w:num="1"/>
          <w:formProt w:val="0"/>
          <w:docGrid w:linePitch="312" w:charSpace="0"/>
        </w:sectPr>
      </w:pPr>
    </w:p>
    <w:p w14:paraId="39B56699">
      <w:pPr>
        <w:pStyle w:val="198"/>
        <w:rPr>
          <w:rFonts w:hint="eastAsia"/>
          <w:vanish w:val="0"/>
        </w:rPr>
      </w:pPr>
      <w:bookmarkStart w:id="180" w:name="_GoBack"/>
      <w:bookmarkEnd w:id="180"/>
    </w:p>
    <w:p w14:paraId="7F2DDAD0">
      <w:pPr>
        <w:pStyle w:val="199"/>
        <w:rPr>
          <w:vanish w:val="0"/>
        </w:rPr>
      </w:pPr>
    </w:p>
    <w:p w14:paraId="1D305899">
      <w:pPr>
        <w:pStyle w:val="76"/>
        <w:spacing w:after="120"/>
      </w:pPr>
      <w:bookmarkStart w:id="176" w:name="_Toc17465"/>
      <w:r>
        <w:br w:type="textWrapping"/>
      </w:r>
      <w:bookmarkStart w:id="177" w:name="_Toc219754444"/>
      <w:bookmarkStart w:id="178" w:name="_Toc219754408"/>
      <w:r>
        <w:rPr>
          <w:rFonts w:hint="eastAsia"/>
        </w:rPr>
        <w:t>（资料性）</w:t>
      </w:r>
      <w:r>
        <w:br w:type="textWrapping"/>
      </w:r>
      <w:r>
        <w:rPr>
          <w:rFonts w:hint="eastAsia"/>
        </w:rPr>
        <w:t>电解二氧化锰碳足迹报告模版</w:t>
      </w:r>
      <w:bookmarkEnd w:id="176"/>
      <w:bookmarkEnd w:id="177"/>
      <w:bookmarkEnd w:id="178"/>
    </w:p>
    <w:p w14:paraId="62C3A2F2">
      <w:pPr>
        <w:pStyle w:val="56"/>
        <w:ind w:firstLine="420"/>
      </w:pPr>
      <w:r>
        <w:rPr>
          <w:rFonts w:hint="eastAsia"/>
        </w:rPr>
        <w:t>产品碳足迹报告模版格式如下。</w:t>
      </w:r>
    </w:p>
    <w:tbl>
      <w:tblPr>
        <w:tblStyle w:val="27"/>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44"/>
      </w:tblGrid>
      <w:tr w14:paraId="22E7663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11219" w:hRule="atLeast"/>
          <w:tblHeader/>
          <w:jc w:val="center"/>
        </w:trPr>
        <w:tc>
          <w:tcPr>
            <w:tcW w:w="9344" w:type="dxa"/>
          </w:tcPr>
          <w:p w14:paraId="064F150E">
            <w:pPr>
              <w:pStyle w:val="56"/>
              <w:ind w:firstLine="420"/>
            </w:pPr>
            <w:r>
              <w:drawing>
                <wp:inline distT="0" distB="0" distL="0" distR="0">
                  <wp:extent cx="5562600" cy="6235700"/>
                  <wp:effectExtent l="0" t="0" r="0" b="0"/>
                  <wp:docPr id="4961693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169306" name="图片 1"/>
                          <pic:cNvPicPr>
                            <a:picLocks noChangeAspect="1"/>
                          </pic:cNvPicPr>
                        </pic:nvPicPr>
                        <pic:blipFill>
                          <a:blip r:embed="rId19"/>
                          <a:stretch>
                            <a:fillRect/>
                          </a:stretch>
                        </pic:blipFill>
                        <pic:spPr>
                          <a:xfrm>
                            <a:off x="0" y="0"/>
                            <a:ext cx="5562886" cy="6236020"/>
                          </a:xfrm>
                          <a:prstGeom prst="rect">
                            <a:avLst/>
                          </a:prstGeom>
                        </pic:spPr>
                      </pic:pic>
                    </a:graphicData>
                  </a:graphic>
                </wp:inline>
              </w:drawing>
            </w:r>
          </w:p>
        </w:tc>
      </w:tr>
    </w:tbl>
    <w:p w14:paraId="22494BA9">
      <w:pPr>
        <w:pStyle w:val="56"/>
        <w:ind w:firstLine="420"/>
      </w:pPr>
    </w:p>
    <w:tbl>
      <w:tblPr>
        <w:tblStyle w:val="27"/>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44"/>
      </w:tblGrid>
      <w:tr w14:paraId="213ED1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13022" w:hRule="atLeast"/>
          <w:tblHeader/>
          <w:jc w:val="center"/>
        </w:trPr>
        <w:tc>
          <w:tcPr>
            <w:tcW w:w="9344" w:type="dxa"/>
          </w:tcPr>
          <w:p w14:paraId="1A177042">
            <w:pPr>
              <w:pStyle w:val="56"/>
              <w:ind w:firstLine="422"/>
              <w:rPr>
                <w:b/>
                <w:bCs/>
                <w:color w:val="auto"/>
              </w:rPr>
            </w:pPr>
            <w:r>
              <w:rPr>
                <w:rFonts w:hint="eastAsia"/>
                <w:b/>
                <w:bCs/>
                <w:color w:val="auto"/>
              </w:rPr>
              <w:t>一、概况</w:t>
            </w:r>
          </w:p>
          <w:p w14:paraId="103A5731">
            <w:pPr>
              <w:pStyle w:val="56"/>
              <w:ind w:firstLine="422"/>
              <w:rPr>
                <w:color w:val="auto"/>
              </w:rPr>
            </w:pPr>
            <w:r>
              <w:rPr>
                <w:rFonts w:hint="eastAsia"/>
                <w:b/>
                <w:bCs/>
                <w:color w:val="auto"/>
              </w:rPr>
              <w:t>1.生产者信息</w:t>
            </w:r>
          </w:p>
          <w:p w14:paraId="292FA3A8">
            <w:pPr>
              <w:pStyle w:val="56"/>
              <w:ind w:firstLine="420"/>
              <w:rPr>
                <w:color w:val="auto"/>
              </w:rPr>
            </w:pPr>
            <w:r>
              <w:rPr>
                <w:rFonts w:hint="eastAsia"/>
                <w:color w:val="auto"/>
              </w:rPr>
              <w:t xml:space="preserve">生产者名称： </w:t>
            </w:r>
            <w:r>
              <w:rPr>
                <w:rFonts w:hint="eastAsia"/>
                <w:color w:val="auto"/>
                <w:u w:val="single"/>
              </w:rPr>
              <w:t xml:space="preserve">                           </w:t>
            </w:r>
          </w:p>
          <w:p w14:paraId="23A627FE">
            <w:pPr>
              <w:pStyle w:val="56"/>
              <w:ind w:firstLine="420"/>
              <w:rPr>
                <w:color w:val="auto"/>
              </w:rPr>
            </w:pPr>
            <w:r>
              <w:rPr>
                <w:rFonts w:hint="eastAsia"/>
                <w:color w:val="auto"/>
              </w:rPr>
              <w:t xml:space="preserve">地    址： </w:t>
            </w:r>
            <w:r>
              <w:rPr>
                <w:rFonts w:hint="eastAsia"/>
                <w:color w:val="auto"/>
                <w:u w:val="single"/>
              </w:rPr>
              <w:t xml:space="preserve">                            </w:t>
            </w:r>
          </w:p>
          <w:p w14:paraId="38590B73">
            <w:pPr>
              <w:pStyle w:val="56"/>
              <w:ind w:firstLine="420"/>
              <w:rPr>
                <w:color w:val="auto"/>
              </w:rPr>
            </w:pPr>
            <w:r>
              <w:rPr>
                <w:rFonts w:hint="eastAsia"/>
                <w:color w:val="auto"/>
              </w:rPr>
              <w:t xml:space="preserve">统一社会信用代码： </w:t>
            </w:r>
            <w:r>
              <w:rPr>
                <w:rFonts w:hint="eastAsia"/>
                <w:color w:val="auto"/>
                <w:u w:val="single"/>
              </w:rPr>
              <w:t xml:space="preserve">                           </w:t>
            </w:r>
          </w:p>
          <w:p w14:paraId="4B18FBE4">
            <w:pPr>
              <w:pStyle w:val="56"/>
              <w:ind w:firstLine="420"/>
              <w:rPr>
                <w:color w:val="auto"/>
              </w:rPr>
            </w:pPr>
            <w:r>
              <w:rPr>
                <w:rFonts w:hint="eastAsia"/>
                <w:color w:val="auto"/>
              </w:rPr>
              <w:t xml:space="preserve">法定代表人： </w:t>
            </w:r>
            <w:r>
              <w:rPr>
                <w:rFonts w:hint="eastAsia"/>
                <w:color w:val="auto"/>
                <w:u w:val="single"/>
              </w:rPr>
              <w:t xml:space="preserve">                            </w:t>
            </w:r>
          </w:p>
          <w:p w14:paraId="18842DC0">
            <w:pPr>
              <w:pStyle w:val="56"/>
              <w:ind w:firstLine="420"/>
              <w:rPr>
                <w:color w:val="auto"/>
              </w:rPr>
            </w:pPr>
            <w:r>
              <w:rPr>
                <w:rFonts w:hint="eastAsia"/>
                <w:color w:val="auto"/>
              </w:rPr>
              <w:t>授权人(联系人):</w:t>
            </w:r>
            <w:r>
              <w:rPr>
                <w:rFonts w:hint="eastAsia"/>
                <w:color w:val="auto"/>
                <w:u w:val="single"/>
              </w:rPr>
              <w:t xml:space="preserve">                           </w:t>
            </w:r>
          </w:p>
          <w:p w14:paraId="21DBE303">
            <w:pPr>
              <w:pStyle w:val="56"/>
              <w:ind w:firstLine="420"/>
              <w:rPr>
                <w:color w:val="auto"/>
              </w:rPr>
            </w:pPr>
            <w:r>
              <w:rPr>
                <w:rFonts w:hint="eastAsia"/>
                <w:color w:val="auto"/>
              </w:rPr>
              <w:t xml:space="preserve">联系电话： </w:t>
            </w:r>
            <w:r>
              <w:rPr>
                <w:rFonts w:hint="eastAsia"/>
                <w:color w:val="auto"/>
                <w:u w:val="single"/>
              </w:rPr>
              <w:t xml:space="preserve">                            </w:t>
            </w:r>
          </w:p>
          <w:p w14:paraId="0BA0AFC7">
            <w:pPr>
              <w:pStyle w:val="56"/>
              <w:ind w:firstLine="420"/>
              <w:rPr>
                <w:color w:val="auto"/>
              </w:rPr>
            </w:pPr>
            <w:r>
              <w:rPr>
                <w:rFonts w:hint="eastAsia"/>
                <w:color w:val="auto"/>
              </w:rPr>
              <w:t xml:space="preserve">企业概况： </w:t>
            </w:r>
            <w:r>
              <w:rPr>
                <w:rFonts w:hint="eastAsia"/>
                <w:color w:val="auto"/>
                <w:u w:val="single"/>
              </w:rPr>
              <w:t xml:space="preserve">                            </w:t>
            </w:r>
          </w:p>
          <w:p w14:paraId="2E8415EC">
            <w:pPr>
              <w:pStyle w:val="56"/>
              <w:ind w:firstLine="422"/>
              <w:rPr>
                <w:color w:val="auto"/>
              </w:rPr>
            </w:pPr>
            <w:r>
              <w:rPr>
                <w:rFonts w:hint="eastAsia"/>
                <w:b/>
                <w:bCs/>
                <w:color w:val="auto"/>
              </w:rPr>
              <w:t>2.产品信息</w:t>
            </w:r>
          </w:p>
          <w:p w14:paraId="1C49D428">
            <w:pPr>
              <w:pStyle w:val="56"/>
              <w:ind w:firstLine="420"/>
              <w:rPr>
                <w:color w:val="auto"/>
              </w:rPr>
            </w:pPr>
            <w:r>
              <w:rPr>
                <w:rFonts w:hint="eastAsia"/>
                <w:color w:val="auto"/>
              </w:rPr>
              <w:t xml:space="preserve">产品名称： </w:t>
            </w:r>
            <w:r>
              <w:rPr>
                <w:rFonts w:hint="eastAsia"/>
                <w:color w:val="auto"/>
                <w:u w:val="single"/>
              </w:rPr>
              <w:t xml:space="preserve">                            </w:t>
            </w:r>
          </w:p>
          <w:p w14:paraId="575CB8B4">
            <w:pPr>
              <w:pStyle w:val="56"/>
              <w:ind w:firstLine="420"/>
              <w:rPr>
                <w:color w:val="auto"/>
              </w:rPr>
            </w:pPr>
            <w:r>
              <w:rPr>
                <w:rFonts w:hint="eastAsia"/>
                <w:color w:val="auto"/>
              </w:rPr>
              <w:t xml:space="preserve">产品执行标准： </w:t>
            </w:r>
            <w:r>
              <w:rPr>
                <w:rFonts w:hint="eastAsia"/>
                <w:color w:val="auto"/>
                <w:u w:val="single"/>
              </w:rPr>
              <w:t xml:space="preserve">                            </w:t>
            </w:r>
          </w:p>
          <w:p w14:paraId="1B26B7BF">
            <w:pPr>
              <w:pStyle w:val="56"/>
              <w:ind w:firstLine="420"/>
              <w:rPr>
                <w:color w:val="auto"/>
              </w:rPr>
            </w:pPr>
            <w:r>
              <w:rPr>
                <w:rFonts w:hint="eastAsia"/>
                <w:color w:val="auto"/>
              </w:rPr>
              <w:t xml:space="preserve">产品功能： </w:t>
            </w:r>
            <w:r>
              <w:rPr>
                <w:rFonts w:hint="eastAsia"/>
                <w:color w:val="auto"/>
                <w:u w:val="single"/>
              </w:rPr>
              <w:t xml:space="preserve">                           </w:t>
            </w:r>
          </w:p>
          <w:p w14:paraId="3763D282">
            <w:pPr>
              <w:pStyle w:val="56"/>
              <w:ind w:firstLine="420"/>
              <w:rPr>
                <w:color w:val="auto"/>
              </w:rPr>
            </w:pPr>
            <w:r>
              <w:rPr>
                <w:rFonts w:hint="eastAsia"/>
                <w:color w:val="auto"/>
              </w:rPr>
              <w:t xml:space="preserve">主要性能指标： </w:t>
            </w:r>
            <w:r>
              <w:rPr>
                <w:rFonts w:hint="eastAsia"/>
                <w:color w:val="auto"/>
                <w:u w:val="single"/>
              </w:rPr>
              <w:t xml:space="preserve">                            </w:t>
            </w:r>
          </w:p>
          <w:p w14:paraId="0B8FA0F1">
            <w:pPr>
              <w:pStyle w:val="56"/>
              <w:ind w:firstLine="420"/>
              <w:rPr>
                <w:color w:val="auto"/>
              </w:rPr>
            </w:pPr>
            <w:r>
              <w:rPr>
                <w:rFonts w:hint="eastAsia"/>
                <w:color w:val="auto"/>
              </w:rPr>
              <w:t xml:space="preserve">产品介绍： </w:t>
            </w:r>
            <w:r>
              <w:rPr>
                <w:rFonts w:hint="eastAsia"/>
                <w:color w:val="auto"/>
                <w:u w:val="single"/>
              </w:rPr>
              <w:t xml:space="preserve">                            </w:t>
            </w:r>
          </w:p>
          <w:p w14:paraId="201DFD9E">
            <w:pPr>
              <w:pStyle w:val="56"/>
              <w:ind w:firstLine="420"/>
              <w:rPr>
                <w:color w:val="auto"/>
              </w:rPr>
            </w:pPr>
            <w:r>
              <w:rPr>
                <w:rFonts w:hint="eastAsia"/>
                <w:color w:val="auto"/>
              </w:rPr>
              <w:t xml:space="preserve">产品图片： </w:t>
            </w:r>
            <w:r>
              <w:rPr>
                <w:rFonts w:hint="eastAsia"/>
                <w:color w:val="auto"/>
                <w:u w:val="single"/>
              </w:rPr>
              <w:t xml:space="preserve">                           </w:t>
            </w:r>
          </w:p>
          <w:p w14:paraId="3997557D">
            <w:pPr>
              <w:pStyle w:val="56"/>
              <w:ind w:firstLine="420"/>
              <w:rPr>
                <w:color w:val="auto"/>
              </w:rPr>
            </w:pPr>
            <w:r>
              <w:rPr>
                <w:rFonts w:hint="eastAsia"/>
                <w:color w:val="auto"/>
              </w:rPr>
              <w:t xml:space="preserve">生产工艺流程： </w:t>
            </w:r>
            <w:r>
              <w:rPr>
                <w:rFonts w:hint="eastAsia"/>
                <w:color w:val="auto"/>
                <w:u w:val="single"/>
              </w:rPr>
              <w:t xml:space="preserve">                            </w:t>
            </w:r>
          </w:p>
          <w:p w14:paraId="7DB773FF">
            <w:pPr>
              <w:pStyle w:val="56"/>
              <w:ind w:firstLine="422"/>
              <w:rPr>
                <w:b/>
                <w:bCs/>
                <w:color w:val="auto"/>
              </w:rPr>
            </w:pPr>
            <w:r>
              <w:rPr>
                <w:rFonts w:hint="eastAsia"/>
                <w:b/>
                <w:bCs/>
                <w:color w:val="auto"/>
              </w:rPr>
              <w:t>3.量化方法</w:t>
            </w:r>
          </w:p>
          <w:p w14:paraId="01EA0ACE">
            <w:pPr>
              <w:pStyle w:val="56"/>
              <w:ind w:firstLine="420"/>
              <w:rPr>
                <w:color w:val="auto"/>
              </w:rPr>
            </w:pPr>
            <w:r>
              <w:rPr>
                <w:rFonts w:hint="eastAsia"/>
                <w:color w:val="auto"/>
              </w:rPr>
              <w:t xml:space="preserve">依据标准：                             </w:t>
            </w:r>
          </w:p>
          <w:p w14:paraId="0AAD3C68">
            <w:pPr>
              <w:pStyle w:val="56"/>
              <w:ind w:firstLine="422"/>
              <w:rPr>
                <w:color w:val="auto"/>
              </w:rPr>
            </w:pPr>
            <w:r>
              <w:rPr>
                <w:rFonts w:hint="eastAsia"/>
                <w:b/>
                <w:bCs/>
                <w:color w:val="auto"/>
              </w:rPr>
              <w:t>二、量化目的</w:t>
            </w:r>
          </w:p>
          <w:p w14:paraId="32F324C5">
            <w:pPr>
              <w:pStyle w:val="56"/>
              <w:ind w:firstLine="420"/>
              <w:rPr>
                <w:color w:val="auto"/>
              </w:rPr>
            </w:pPr>
            <w:r>
              <w:rPr>
                <w:rFonts w:hint="eastAsia"/>
                <w:color w:val="auto"/>
              </w:rPr>
              <w:t xml:space="preserve"> </w:t>
            </w:r>
          </w:p>
          <w:p w14:paraId="34D672DF">
            <w:pPr>
              <w:pStyle w:val="56"/>
              <w:ind w:firstLine="420"/>
              <w:rPr>
                <w:color w:val="auto"/>
              </w:rPr>
            </w:pPr>
            <w:r>
              <w:rPr>
                <w:rFonts w:hint="eastAsia"/>
                <w:color w:val="auto"/>
              </w:rPr>
              <w:t xml:space="preserve"> </w:t>
            </w:r>
          </w:p>
          <w:p w14:paraId="2201B363">
            <w:pPr>
              <w:pStyle w:val="56"/>
              <w:ind w:firstLine="422"/>
              <w:rPr>
                <w:color w:val="auto"/>
              </w:rPr>
            </w:pPr>
            <w:r>
              <w:rPr>
                <w:rFonts w:hint="eastAsia"/>
                <w:b/>
                <w:bCs/>
                <w:color w:val="auto"/>
              </w:rPr>
              <w:t>三、量化范围</w:t>
            </w:r>
          </w:p>
          <w:p w14:paraId="364B9B0B">
            <w:pPr>
              <w:pStyle w:val="56"/>
              <w:ind w:firstLine="422"/>
              <w:rPr>
                <w:color w:val="auto"/>
              </w:rPr>
            </w:pPr>
            <w:r>
              <w:rPr>
                <w:rFonts w:hint="eastAsia"/>
                <w:b/>
                <w:bCs/>
                <w:color w:val="auto"/>
              </w:rPr>
              <w:t>1.声明单位</w:t>
            </w:r>
          </w:p>
          <w:p w14:paraId="0D87CE6D">
            <w:pPr>
              <w:pStyle w:val="56"/>
              <w:ind w:firstLine="420"/>
              <w:rPr>
                <w:color w:val="auto"/>
              </w:rPr>
            </w:pPr>
            <w:r>
              <w:rPr>
                <w:rFonts w:hint="eastAsia"/>
                <w:color w:val="auto"/>
              </w:rPr>
              <w:t xml:space="preserve">以 </w:t>
            </w:r>
            <w:r>
              <w:rPr>
                <w:rFonts w:hint="eastAsia"/>
                <w:color w:val="auto"/>
                <w:u w:val="single"/>
              </w:rPr>
              <w:t xml:space="preserve">      </w:t>
            </w:r>
            <w:r>
              <w:rPr>
                <w:rFonts w:hint="eastAsia"/>
                <w:color w:val="auto"/>
              </w:rPr>
              <w:t xml:space="preserve"> 为声明单位。</w:t>
            </w:r>
          </w:p>
          <w:p w14:paraId="2E06EA17">
            <w:pPr>
              <w:pStyle w:val="56"/>
              <w:ind w:firstLine="422"/>
              <w:rPr>
                <w:b/>
                <w:bCs/>
                <w:color w:val="auto"/>
              </w:rPr>
            </w:pPr>
            <w:r>
              <w:rPr>
                <w:rFonts w:hint="eastAsia"/>
                <w:b/>
                <w:bCs/>
                <w:color w:val="auto"/>
              </w:rPr>
              <w:t>2.系统边界</w:t>
            </w:r>
          </w:p>
          <w:p w14:paraId="5A4F3A90">
            <w:pPr>
              <w:pStyle w:val="56"/>
              <w:ind w:firstLine="420"/>
              <w:rPr>
                <w:color w:val="auto"/>
              </w:rPr>
            </w:pPr>
            <w:r>
              <w:rPr>
                <w:rFonts w:hint="eastAsia"/>
                <w:color w:val="auto"/>
              </w:rPr>
              <w:t>将系统边界界定为料获取阶段，产品生产阶段。</w:t>
            </w:r>
          </w:p>
          <w:p w14:paraId="2C8687B9">
            <w:pPr>
              <w:pStyle w:val="56"/>
              <w:ind w:firstLine="420"/>
              <w:rPr>
                <w:color w:val="auto"/>
              </w:rPr>
            </w:pPr>
            <w:r>
              <w:rPr>
                <w:color w:val="auto"/>
              </w:rPr>
              <w:t xml:space="preserve"> </w:t>
            </w:r>
          </w:p>
          <w:p w14:paraId="40117CC7">
            <w:pPr>
              <w:pStyle w:val="56"/>
              <w:ind w:firstLine="420"/>
              <w:rPr>
                <w:color w:val="auto"/>
              </w:rPr>
            </w:pPr>
            <w:r>
              <w:rPr>
                <w:color w:val="auto"/>
              </w:rPr>
              <w:t xml:space="preserve"> </w:t>
            </w:r>
          </w:p>
          <w:p w14:paraId="79ECBD73">
            <w:pPr>
              <w:pStyle w:val="56"/>
              <w:ind w:firstLine="420"/>
              <w:rPr>
                <w:color w:val="auto"/>
              </w:rPr>
            </w:pPr>
          </w:p>
          <w:p w14:paraId="0A2CD8D8">
            <w:pPr>
              <w:pStyle w:val="56"/>
              <w:ind w:firstLine="420"/>
              <w:rPr>
                <w:color w:val="auto"/>
              </w:rPr>
            </w:pPr>
          </w:p>
          <w:p w14:paraId="758797E1">
            <w:pPr>
              <w:pStyle w:val="56"/>
              <w:ind w:firstLine="420"/>
              <w:rPr>
                <w:color w:val="auto"/>
              </w:rPr>
            </w:pPr>
          </w:p>
          <w:p w14:paraId="6DDA8287">
            <w:pPr>
              <w:pStyle w:val="56"/>
              <w:ind w:firstLine="420"/>
              <w:rPr>
                <w:color w:val="auto"/>
              </w:rPr>
            </w:pPr>
          </w:p>
          <w:p w14:paraId="7580431D">
            <w:pPr>
              <w:pStyle w:val="56"/>
              <w:ind w:firstLine="420"/>
              <w:rPr>
                <w:color w:val="auto"/>
              </w:rPr>
            </w:pPr>
          </w:p>
          <w:p w14:paraId="549BA5D9">
            <w:pPr>
              <w:pStyle w:val="56"/>
              <w:ind w:firstLine="420"/>
              <w:rPr>
                <w:color w:val="auto"/>
              </w:rPr>
            </w:pPr>
          </w:p>
          <w:p w14:paraId="7236487A">
            <w:pPr>
              <w:pStyle w:val="56"/>
              <w:ind w:firstLine="420"/>
              <w:rPr>
                <w:color w:val="auto"/>
              </w:rPr>
            </w:pPr>
          </w:p>
          <w:p w14:paraId="27875793">
            <w:pPr>
              <w:pStyle w:val="56"/>
              <w:ind w:firstLine="420"/>
              <w:rPr>
                <w:color w:val="auto"/>
              </w:rPr>
            </w:pPr>
          </w:p>
          <w:p w14:paraId="0E376192">
            <w:pPr>
              <w:pStyle w:val="56"/>
              <w:ind w:firstLine="420"/>
              <w:rPr>
                <w:color w:val="auto"/>
              </w:rPr>
            </w:pPr>
          </w:p>
          <w:p w14:paraId="7DA6D63B">
            <w:pPr>
              <w:pStyle w:val="56"/>
              <w:ind w:firstLine="0" w:firstLineChars="0"/>
              <w:jc w:val="center"/>
              <w:rPr>
                <w:b/>
                <w:bCs/>
                <w:color w:val="auto"/>
              </w:rPr>
            </w:pPr>
            <w:r>
              <w:rPr>
                <w:rFonts w:hint="eastAsia"/>
                <w:b/>
                <w:bCs/>
                <w:color w:val="auto"/>
              </w:rPr>
              <w:t>图1 XX产品碳足迹量化系统边界</w:t>
            </w:r>
          </w:p>
          <w:p w14:paraId="04759E7B">
            <w:pPr>
              <w:pStyle w:val="56"/>
              <w:ind w:firstLine="422"/>
              <w:rPr>
                <w:color w:val="auto"/>
              </w:rPr>
            </w:pPr>
            <w:r>
              <w:rPr>
                <w:rFonts w:hint="eastAsia"/>
                <w:b/>
                <w:bCs/>
                <w:color w:val="auto"/>
              </w:rPr>
              <w:t>3. 取舍准则</w:t>
            </w:r>
          </w:p>
          <w:p w14:paraId="2F4D90B4">
            <w:pPr>
              <w:pStyle w:val="56"/>
              <w:ind w:firstLine="420"/>
              <w:rPr>
                <w:color w:val="auto"/>
              </w:rPr>
            </w:pPr>
            <w:r>
              <w:rPr>
                <w:rFonts w:hint="eastAsia"/>
                <w:color w:val="auto"/>
              </w:rPr>
              <w:t>采用的取舍准则以</w:t>
            </w:r>
            <w:r>
              <w:rPr>
                <w:rFonts w:hint="eastAsia"/>
                <w:color w:val="auto"/>
                <w:u w:val="single"/>
              </w:rPr>
              <w:t xml:space="preserve">              </w:t>
            </w:r>
            <w:r>
              <w:rPr>
                <w:rFonts w:hint="eastAsia"/>
                <w:color w:val="auto"/>
              </w:rPr>
              <w:t xml:space="preserve"> 为依据，具体规则如下：</w:t>
            </w:r>
          </w:p>
          <w:p w14:paraId="4DB50FD3">
            <w:pPr>
              <w:pStyle w:val="56"/>
              <w:ind w:firstLine="420"/>
              <w:rPr>
                <w:color w:val="auto"/>
              </w:rPr>
            </w:pPr>
            <w:r>
              <w:rPr>
                <w:rFonts w:hint="eastAsia"/>
                <w:color w:val="auto"/>
              </w:rPr>
              <w:t xml:space="preserve"> </w:t>
            </w:r>
            <w:r>
              <w:rPr>
                <w:rFonts w:hint="eastAsia"/>
                <w:b/>
                <w:bCs/>
                <w:color w:val="auto"/>
              </w:rPr>
              <w:t>4. 时间范围</w:t>
            </w:r>
          </w:p>
          <w:p w14:paraId="362CE19A">
            <w:pPr>
              <w:pStyle w:val="56"/>
              <w:ind w:firstLine="420"/>
              <w:rPr>
                <w:color w:val="auto"/>
              </w:rPr>
            </w:pPr>
            <w:r>
              <w:rPr>
                <w:rFonts w:hint="eastAsia"/>
                <w:color w:val="auto"/>
                <w:u w:val="single"/>
              </w:rPr>
              <w:t xml:space="preserve">        </w:t>
            </w:r>
            <w:r>
              <w:rPr>
                <w:rFonts w:hint="eastAsia"/>
                <w:color w:val="auto"/>
              </w:rPr>
              <w:t>年度。</w:t>
            </w:r>
          </w:p>
          <w:p w14:paraId="72D7A383">
            <w:pPr>
              <w:pStyle w:val="56"/>
              <w:ind w:firstLine="422"/>
              <w:rPr>
                <w:color w:val="auto"/>
              </w:rPr>
            </w:pPr>
            <w:r>
              <w:rPr>
                <w:rFonts w:hint="eastAsia"/>
                <w:b/>
                <w:bCs/>
                <w:color w:val="auto"/>
              </w:rPr>
              <w:t>四、清单分析</w:t>
            </w:r>
          </w:p>
          <w:p w14:paraId="55A8DF3C">
            <w:pPr>
              <w:pStyle w:val="56"/>
              <w:ind w:firstLine="422"/>
              <w:rPr>
                <w:b/>
                <w:bCs/>
                <w:color w:val="auto"/>
              </w:rPr>
            </w:pPr>
            <w:r>
              <w:rPr>
                <w:rFonts w:hint="eastAsia"/>
                <w:b/>
                <w:bCs/>
                <w:color w:val="auto"/>
              </w:rPr>
              <w:t>1.数据来源说明</w:t>
            </w:r>
          </w:p>
          <w:p w14:paraId="4A88EA5F">
            <w:pPr>
              <w:pStyle w:val="56"/>
              <w:ind w:firstLine="420"/>
              <w:rPr>
                <w:color w:val="auto"/>
              </w:rPr>
            </w:pPr>
            <w:r>
              <w:rPr>
                <w:rFonts w:hint="eastAsia"/>
                <w:color w:val="auto"/>
              </w:rPr>
              <w:t>初级数据：</w:t>
            </w:r>
            <w:r>
              <w:rPr>
                <w:rFonts w:hint="eastAsia"/>
                <w:color w:val="auto"/>
                <w:u w:val="single"/>
              </w:rPr>
              <w:t xml:space="preserve">                                       </w:t>
            </w:r>
          </w:p>
          <w:p w14:paraId="019415BB">
            <w:pPr>
              <w:pStyle w:val="56"/>
              <w:ind w:firstLine="420"/>
              <w:rPr>
                <w:color w:val="auto"/>
                <w:u w:val="single"/>
              </w:rPr>
            </w:pPr>
            <w:r>
              <w:rPr>
                <w:rFonts w:hint="eastAsia"/>
                <w:color w:val="auto"/>
              </w:rPr>
              <w:t xml:space="preserve">次级数据： </w:t>
            </w:r>
            <w:r>
              <w:rPr>
                <w:rFonts w:hint="eastAsia"/>
                <w:color w:val="auto"/>
                <w:u w:val="single"/>
              </w:rPr>
              <w:t xml:space="preserve">                                        </w:t>
            </w:r>
          </w:p>
          <w:p w14:paraId="5AB65DF1">
            <w:pPr>
              <w:pStyle w:val="56"/>
              <w:ind w:firstLine="420"/>
              <w:rPr>
                <w:color w:val="auto"/>
              </w:rPr>
            </w:pPr>
          </w:p>
        </w:tc>
      </w:tr>
    </w:tbl>
    <w:p w14:paraId="08CBB42B">
      <w:pPr>
        <w:pStyle w:val="56"/>
        <w:ind w:firstLine="420"/>
      </w:pPr>
    </w:p>
    <w:tbl>
      <w:tblPr>
        <w:tblStyle w:val="27"/>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34"/>
      </w:tblGrid>
      <w:tr w14:paraId="750DB3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12739" w:hRule="atLeast"/>
          <w:tblHeader/>
          <w:jc w:val="center"/>
        </w:trPr>
        <w:tc>
          <w:tcPr>
            <w:tcW w:w="9334" w:type="dxa"/>
          </w:tcPr>
          <w:p w14:paraId="43F5930A">
            <w:pPr>
              <w:pStyle w:val="56"/>
              <w:ind w:firstLine="422"/>
            </w:pPr>
            <w:r>
              <w:rPr>
                <w:rFonts w:hint="eastAsia"/>
                <w:b/>
                <w:bCs/>
              </w:rPr>
              <w:t>2.分配原则与程序</w:t>
            </w:r>
          </w:p>
          <w:p w14:paraId="3F16BBFA">
            <w:pPr>
              <w:pStyle w:val="56"/>
              <w:ind w:firstLine="420"/>
            </w:pPr>
            <w:r>
              <w:rPr>
                <w:rFonts w:hint="eastAsia"/>
              </w:rPr>
              <w:t>分配依据：</w:t>
            </w:r>
            <w:r>
              <w:rPr>
                <w:rFonts w:hint="eastAsia"/>
                <w:u w:val="single"/>
              </w:rPr>
              <w:t xml:space="preserve">                                   </w:t>
            </w:r>
          </w:p>
          <w:p w14:paraId="66363B63">
            <w:pPr>
              <w:pStyle w:val="56"/>
              <w:ind w:firstLine="420"/>
            </w:pPr>
            <w:r>
              <w:rPr>
                <w:rFonts w:hint="eastAsia"/>
              </w:rPr>
              <w:t xml:space="preserve">分配程序： </w:t>
            </w:r>
            <w:r>
              <w:rPr>
                <w:rFonts w:hint="eastAsia"/>
                <w:u w:val="single"/>
              </w:rPr>
              <w:t xml:space="preserve">                                        </w:t>
            </w:r>
          </w:p>
          <w:p w14:paraId="49912F70">
            <w:pPr>
              <w:pStyle w:val="56"/>
              <w:ind w:firstLine="420"/>
            </w:pPr>
            <w:r>
              <w:rPr>
                <w:rFonts w:hint="eastAsia"/>
              </w:rPr>
              <w:t>具体分配情况如下：</w:t>
            </w:r>
          </w:p>
          <w:p w14:paraId="61D5B9CC">
            <w:pPr>
              <w:pStyle w:val="56"/>
              <w:ind w:firstLine="422"/>
            </w:pPr>
            <w:r>
              <w:rPr>
                <w:rFonts w:hint="eastAsia"/>
                <w:b/>
                <w:bCs/>
              </w:rPr>
              <w:t>3.清单结果及计算</w:t>
            </w:r>
          </w:p>
          <w:p w14:paraId="5F45A657">
            <w:pPr>
              <w:pStyle w:val="56"/>
              <w:ind w:firstLine="420"/>
            </w:pPr>
            <w:r>
              <w:rPr>
                <w:rFonts w:hint="eastAsia"/>
              </w:rPr>
              <w:t>生命周期各个阶段碳排放计算说明见表1。</w:t>
            </w:r>
          </w:p>
          <w:p w14:paraId="0E0B52A4">
            <w:pPr>
              <w:pStyle w:val="56"/>
              <w:ind w:firstLine="0" w:firstLineChars="0"/>
              <w:jc w:val="center"/>
              <w:rPr>
                <w:b/>
                <w:bCs/>
              </w:rPr>
            </w:pPr>
            <w:r>
              <w:rPr>
                <w:rFonts w:hint="eastAsia"/>
                <w:b/>
                <w:bCs/>
              </w:rPr>
              <w:t>表1 XX产品生命周期碳排放清单说明</w:t>
            </w:r>
          </w:p>
          <w:tbl>
            <w:tblPr>
              <w:tblStyle w:val="26"/>
              <w:tblW w:w="8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2"/>
              <w:gridCol w:w="1658"/>
              <w:gridCol w:w="2297"/>
              <w:gridCol w:w="2312"/>
            </w:tblGrid>
            <w:tr w14:paraId="283A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192" w:type="dxa"/>
                  <w:tcBorders>
                    <w:top w:val="single" w:color="auto" w:sz="4" w:space="0"/>
                    <w:left w:val="single" w:color="auto" w:sz="4" w:space="0"/>
                    <w:bottom w:val="single" w:color="auto" w:sz="4" w:space="0"/>
                    <w:right w:val="single" w:color="auto" w:sz="4" w:space="0"/>
                  </w:tcBorders>
                  <w:vAlign w:val="center"/>
                </w:tcPr>
                <w:p w14:paraId="636E1ACB">
                  <w:pPr>
                    <w:pStyle w:val="56"/>
                    <w:ind w:firstLine="0" w:firstLineChars="0"/>
                  </w:pPr>
                  <w:r>
                    <w:t xml:space="preserve"> </w:t>
                  </w:r>
                  <w:r>
                    <w:rPr>
                      <w:rFonts w:hint="eastAsia"/>
                    </w:rPr>
                    <w:t>生命周期阶段</w:t>
                  </w:r>
                </w:p>
              </w:tc>
              <w:tc>
                <w:tcPr>
                  <w:tcW w:w="1658" w:type="dxa"/>
                  <w:tcBorders>
                    <w:top w:val="single" w:color="auto" w:sz="4" w:space="0"/>
                    <w:left w:val="single" w:color="auto" w:sz="4" w:space="0"/>
                    <w:bottom w:val="single" w:color="auto" w:sz="4" w:space="0"/>
                    <w:right w:val="single" w:color="auto" w:sz="4" w:space="0"/>
                  </w:tcBorders>
                  <w:vAlign w:val="center"/>
                </w:tcPr>
                <w:p w14:paraId="1206C6F3">
                  <w:pPr>
                    <w:pStyle w:val="56"/>
                    <w:ind w:firstLine="0" w:firstLineChars="0"/>
                  </w:pPr>
                  <w:r>
                    <w:rPr>
                      <w:rFonts w:hint="eastAsia"/>
                    </w:rPr>
                    <w:t>活动数据</w:t>
                  </w:r>
                </w:p>
              </w:tc>
              <w:tc>
                <w:tcPr>
                  <w:tcW w:w="2297" w:type="dxa"/>
                  <w:tcBorders>
                    <w:top w:val="single" w:color="auto" w:sz="4" w:space="0"/>
                    <w:left w:val="single" w:color="auto" w:sz="4" w:space="0"/>
                    <w:bottom w:val="single" w:color="auto" w:sz="4" w:space="0"/>
                    <w:right w:val="single" w:color="auto" w:sz="4" w:space="0"/>
                  </w:tcBorders>
                  <w:vAlign w:val="center"/>
                </w:tcPr>
                <w:p w14:paraId="290B0CA7">
                  <w:pPr>
                    <w:pStyle w:val="56"/>
                    <w:ind w:firstLine="0" w:firstLineChars="0"/>
                  </w:pPr>
                  <w:r>
                    <w:rPr>
                      <w:rFonts w:hint="eastAsia"/>
                    </w:rPr>
                    <w:t>排放因子</w:t>
                  </w:r>
                </w:p>
              </w:tc>
              <w:tc>
                <w:tcPr>
                  <w:tcW w:w="2312" w:type="dxa"/>
                  <w:tcBorders>
                    <w:top w:val="single" w:color="auto" w:sz="4" w:space="0"/>
                    <w:left w:val="single" w:color="auto" w:sz="4" w:space="0"/>
                    <w:bottom w:val="single" w:color="auto" w:sz="4" w:space="0"/>
                    <w:right w:val="single" w:color="auto" w:sz="4" w:space="0"/>
                  </w:tcBorders>
                  <w:vAlign w:val="center"/>
                </w:tcPr>
                <w:p w14:paraId="27F13B3C">
                  <w:pPr>
                    <w:pStyle w:val="56"/>
                    <w:ind w:firstLine="0" w:firstLineChars="0"/>
                  </w:pPr>
                  <w:r>
                    <w:rPr>
                      <w:rFonts w:hint="eastAsia"/>
                    </w:rPr>
                    <w:t>温室气体量</w:t>
                  </w:r>
                </w:p>
                <w:p w14:paraId="6C7A3B18">
                  <w:pPr>
                    <w:pStyle w:val="56"/>
                    <w:ind w:firstLine="0" w:firstLineChars="0"/>
                  </w:pPr>
                  <w:r>
                    <w:rPr>
                      <w:rFonts w:hint="eastAsia"/>
                    </w:rPr>
                    <w:t>(kg/声明单位)</w:t>
                  </w:r>
                </w:p>
              </w:tc>
            </w:tr>
            <w:tr w14:paraId="295BC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92" w:type="dxa"/>
                  <w:vMerge w:val="restart"/>
                  <w:tcBorders>
                    <w:top w:val="nil"/>
                    <w:left w:val="single" w:color="auto" w:sz="4" w:space="0"/>
                    <w:bottom w:val="single" w:color="auto" w:sz="4" w:space="0"/>
                    <w:right w:val="single" w:color="auto" w:sz="4" w:space="0"/>
                  </w:tcBorders>
                  <w:vAlign w:val="center"/>
                </w:tcPr>
                <w:p w14:paraId="543DA6B1">
                  <w:pPr>
                    <w:pStyle w:val="56"/>
                    <w:ind w:firstLine="0" w:firstLineChars="0"/>
                  </w:pPr>
                  <w:r>
                    <w:rPr>
                      <w:rFonts w:hint="eastAsia"/>
                    </w:rPr>
                    <w:t>原料获取阶段(A)</w:t>
                  </w:r>
                </w:p>
              </w:tc>
              <w:tc>
                <w:tcPr>
                  <w:tcW w:w="1658" w:type="dxa"/>
                  <w:tcBorders>
                    <w:top w:val="single" w:color="auto" w:sz="4" w:space="0"/>
                    <w:left w:val="single" w:color="auto" w:sz="4" w:space="0"/>
                    <w:bottom w:val="single" w:color="auto" w:sz="4" w:space="0"/>
                    <w:right w:val="single" w:color="auto" w:sz="4" w:space="0"/>
                  </w:tcBorders>
                  <w:vAlign w:val="center"/>
                </w:tcPr>
                <w:p w14:paraId="5C30B58E">
                  <w:pPr>
                    <w:pStyle w:val="56"/>
                    <w:ind w:firstLine="0" w:firstLineChars="0"/>
                  </w:pPr>
                </w:p>
              </w:tc>
              <w:tc>
                <w:tcPr>
                  <w:tcW w:w="2297" w:type="dxa"/>
                  <w:tcBorders>
                    <w:top w:val="single" w:color="auto" w:sz="4" w:space="0"/>
                    <w:left w:val="single" w:color="auto" w:sz="4" w:space="0"/>
                    <w:bottom w:val="single" w:color="auto" w:sz="4" w:space="0"/>
                    <w:right w:val="single" w:color="auto" w:sz="4" w:space="0"/>
                  </w:tcBorders>
                  <w:vAlign w:val="center"/>
                </w:tcPr>
                <w:p w14:paraId="53B1FFF2">
                  <w:pPr>
                    <w:pStyle w:val="56"/>
                    <w:ind w:firstLine="0" w:firstLineChars="0"/>
                  </w:pPr>
                </w:p>
              </w:tc>
              <w:tc>
                <w:tcPr>
                  <w:tcW w:w="2312" w:type="dxa"/>
                  <w:tcBorders>
                    <w:top w:val="single" w:color="auto" w:sz="4" w:space="0"/>
                    <w:left w:val="single" w:color="auto" w:sz="4" w:space="0"/>
                    <w:bottom w:val="single" w:color="auto" w:sz="4" w:space="0"/>
                    <w:right w:val="single" w:color="auto" w:sz="4" w:space="0"/>
                  </w:tcBorders>
                  <w:vAlign w:val="center"/>
                </w:tcPr>
                <w:p w14:paraId="6EB4CE50">
                  <w:pPr>
                    <w:pStyle w:val="56"/>
                    <w:ind w:firstLine="0" w:firstLineChars="0"/>
                  </w:pPr>
                </w:p>
              </w:tc>
            </w:tr>
            <w:tr w14:paraId="54AB3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92" w:type="dxa"/>
                  <w:vMerge w:val="continue"/>
                  <w:tcBorders>
                    <w:top w:val="nil"/>
                    <w:left w:val="single" w:color="auto" w:sz="4" w:space="0"/>
                    <w:bottom w:val="single" w:color="auto" w:sz="4" w:space="0"/>
                    <w:right w:val="single" w:color="auto" w:sz="4" w:space="0"/>
                  </w:tcBorders>
                  <w:vAlign w:val="center"/>
                </w:tcPr>
                <w:p w14:paraId="40D63FB2">
                  <w:pPr>
                    <w:pStyle w:val="56"/>
                    <w:ind w:firstLine="0" w:firstLineChars="0"/>
                  </w:pPr>
                </w:p>
              </w:tc>
              <w:tc>
                <w:tcPr>
                  <w:tcW w:w="1658" w:type="dxa"/>
                  <w:tcBorders>
                    <w:top w:val="single" w:color="auto" w:sz="4" w:space="0"/>
                    <w:left w:val="single" w:color="auto" w:sz="4" w:space="0"/>
                    <w:bottom w:val="single" w:color="auto" w:sz="4" w:space="0"/>
                    <w:right w:val="single" w:color="auto" w:sz="4" w:space="0"/>
                  </w:tcBorders>
                  <w:vAlign w:val="center"/>
                </w:tcPr>
                <w:p w14:paraId="76565BF0">
                  <w:pPr>
                    <w:pStyle w:val="56"/>
                    <w:ind w:firstLine="0" w:firstLineChars="0"/>
                  </w:pPr>
                </w:p>
              </w:tc>
              <w:tc>
                <w:tcPr>
                  <w:tcW w:w="2297" w:type="dxa"/>
                  <w:tcBorders>
                    <w:top w:val="single" w:color="auto" w:sz="4" w:space="0"/>
                    <w:left w:val="single" w:color="auto" w:sz="4" w:space="0"/>
                    <w:bottom w:val="single" w:color="auto" w:sz="4" w:space="0"/>
                    <w:right w:val="single" w:color="auto" w:sz="4" w:space="0"/>
                  </w:tcBorders>
                  <w:vAlign w:val="center"/>
                </w:tcPr>
                <w:p w14:paraId="6A1202F1">
                  <w:pPr>
                    <w:pStyle w:val="56"/>
                    <w:ind w:firstLine="0" w:firstLineChars="0"/>
                  </w:pPr>
                </w:p>
              </w:tc>
              <w:tc>
                <w:tcPr>
                  <w:tcW w:w="2312" w:type="dxa"/>
                  <w:tcBorders>
                    <w:top w:val="single" w:color="auto" w:sz="4" w:space="0"/>
                    <w:left w:val="single" w:color="auto" w:sz="4" w:space="0"/>
                    <w:bottom w:val="single" w:color="auto" w:sz="4" w:space="0"/>
                    <w:right w:val="single" w:color="auto" w:sz="4" w:space="0"/>
                  </w:tcBorders>
                  <w:vAlign w:val="center"/>
                </w:tcPr>
                <w:p w14:paraId="5007C206">
                  <w:pPr>
                    <w:pStyle w:val="56"/>
                    <w:ind w:firstLine="0" w:firstLineChars="0"/>
                  </w:pPr>
                </w:p>
              </w:tc>
            </w:tr>
            <w:tr w14:paraId="51A7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92" w:type="dxa"/>
                  <w:vMerge w:val="continue"/>
                  <w:tcBorders>
                    <w:top w:val="nil"/>
                    <w:left w:val="single" w:color="auto" w:sz="4" w:space="0"/>
                    <w:bottom w:val="single" w:color="auto" w:sz="4" w:space="0"/>
                    <w:right w:val="single" w:color="auto" w:sz="4" w:space="0"/>
                  </w:tcBorders>
                  <w:vAlign w:val="center"/>
                </w:tcPr>
                <w:p w14:paraId="48817C1E">
                  <w:pPr>
                    <w:pStyle w:val="56"/>
                    <w:ind w:firstLine="0" w:firstLineChars="0"/>
                  </w:pPr>
                </w:p>
              </w:tc>
              <w:tc>
                <w:tcPr>
                  <w:tcW w:w="1658" w:type="dxa"/>
                  <w:tcBorders>
                    <w:top w:val="single" w:color="auto" w:sz="4" w:space="0"/>
                    <w:left w:val="single" w:color="auto" w:sz="4" w:space="0"/>
                    <w:bottom w:val="single" w:color="auto" w:sz="4" w:space="0"/>
                    <w:right w:val="single" w:color="auto" w:sz="4" w:space="0"/>
                  </w:tcBorders>
                  <w:vAlign w:val="center"/>
                </w:tcPr>
                <w:p w14:paraId="2A835F92">
                  <w:pPr>
                    <w:pStyle w:val="56"/>
                    <w:ind w:firstLine="0" w:firstLineChars="0"/>
                  </w:pPr>
                </w:p>
              </w:tc>
              <w:tc>
                <w:tcPr>
                  <w:tcW w:w="2297" w:type="dxa"/>
                  <w:tcBorders>
                    <w:top w:val="single" w:color="auto" w:sz="4" w:space="0"/>
                    <w:left w:val="single" w:color="auto" w:sz="4" w:space="0"/>
                    <w:bottom w:val="single" w:color="auto" w:sz="4" w:space="0"/>
                    <w:right w:val="single" w:color="auto" w:sz="4" w:space="0"/>
                  </w:tcBorders>
                  <w:vAlign w:val="center"/>
                </w:tcPr>
                <w:p w14:paraId="0CF62142">
                  <w:pPr>
                    <w:pStyle w:val="56"/>
                    <w:ind w:firstLine="0" w:firstLineChars="0"/>
                  </w:pPr>
                </w:p>
              </w:tc>
              <w:tc>
                <w:tcPr>
                  <w:tcW w:w="2312" w:type="dxa"/>
                  <w:tcBorders>
                    <w:top w:val="single" w:color="auto" w:sz="4" w:space="0"/>
                    <w:left w:val="single" w:color="auto" w:sz="4" w:space="0"/>
                    <w:bottom w:val="single" w:color="auto" w:sz="4" w:space="0"/>
                    <w:right w:val="single" w:color="auto" w:sz="4" w:space="0"/>
                  </w:tcBorders>
                  <w:vAlign w:val="center"/>
                </w:tcPr>
                <w:p w14:paraId="5966A3D0">
                  <w:pPr>
                    <w:pStyle w:val="56"/>
                    <w:ind w:firstLine="0" w:firstLineChars="0"/>
                  </w:pPr>
                </w:p>
              </w:tc>
            </w:tr>
            <w:tr w14:paraId="5F57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92" w:type="dxa"/>
                  <w:vMerge w:val="restart"/>
                  <w:tcBorders>
                    <w:top w:val="nil"/>
                    <w:left w:val="single" w:color="auto" w:sz="4" w:space="0"/>
                    <w:bottom w:val="single" w:color="auto" w:sz="4" w:space="0"/>
                    <w:right w:val="single" w:color="auto" w:sz="4" w:space="0"/>
                  </w:tcBorders>
                  <w:vAlign w:val="center"/>
                </w:tcPr>
                <w:p w14:paraId="17E78B8A">
                  <w:pPr>
                    <w:pStyle w:val="56"/>
                    <w:ind w:firstLine="0" w:firstLineChars="0"/>
                  </w:pPr>
                  <w:r>
                    <w:rPr>
                      <w:rFonts w:hint="eastAsia"/>
                    </w:rPr>
                    <w:t>产品生产阶段(B)</w:t>
                  </w:r>
                </w:p>
              </w:tc>
              <w:tc>
                <w:tcPr>
                  <w:tcW w:w="1658" w:type="dxa"/>
                  <w:tcBorders>
                    <w:top w:val="single" w:color="auto" w:sz="4" w:space="0"/>
                    <w:left w:val="single" w:color="auto" w:sz="4" w:space="0"/>
                    <w:bottom w:val="single" w:color="auto" w:sz="4" w:space="0"/>
                    <w:right w:val="single" w:color="auto" w:sz="4" w:space="0"/>
                  </w:tcBorders>
                  <w:vAlign w:val="center"/>
                </w:tcPr>
                <w:p w14:paraId="28E0FB6F">
                  <w:pPr>
                    <w:pStyle w:val="56"/>
                    <w:ind w:firstLine="0" w:firstLineChars="0"/>
                  </w:pPr>
                </w:p>
              </w:tc>
              <w:tc>
                <w:tcPr>
                  <w:tcW w:w="2297" w:type="dxa"/>
                  <w:tcBorders>
                    <w:top w:val="single" w:color="auto" w:sz="4" w:space="0"/>
                    <w:left w:val="single" w:color="auto" w:sz="4" w:space="0"/>
                    <w:bottom w:val="single" w:color="auto" w:sz="4" w:space="0"/>
                    <w:right w:val="single" w:color="auto" w:sz="4" w:space="0"/>
                  </w:tcBorders>
                  <w:vAlign w:val="center"/>
                </w:tcPr>
                <w:p w14:paraId="5A1AA40B">
                  <w:pPr>
                    <w:pStyle w:val="56"/>
                    <w:ind w:firstLine="0" w:firstLineChars="0"/>
                  </w:pPr>
                </w:p>
              </w:tc>
              <w:tc>
                <w:tcPr>
                  <w:tcW w:w="2312" w:type="dxa"/>
                  <w:tcBorders>
                    <w:top w:val="single" w:color="auto" w:sz="4" w:space="0"/>
                    <w:left w:val="single" w:color="auto" w:sz="4" w:space="0"/>
                    <w:bottom w:val="single" w:color="auto" w:sz="4" w:space="0"/>
                    <w:right w:val="single" w:color="auto" w:sz="4" w:space="0"/>
                  </w:tcBorders>
                  <w:vAlign w:val="center"/>
                </w:tcPr>
                <w:p w14:paraId="4B142837">
                  <w:pPr>
                    <w:pStyle w:val="56"/>
                    <w:ind w:firstLine="0" w:firstLineChars="0"/>
                  </w:pPr>
                </w:p>
              </w:tc>
            </w:tr>
            <w:tr w14:paraId="6D21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92" w:type="dxa"/>
                  <w:vMerge w:val="continue"/>
                  <w:tcBorders>
                    <w:top w:val="nil"/>
                    <w:left w:val="single" w:color="auto" w:sz="4" w:space="0"/>
                    <w:bottom w:val="single" w:color="auto" w:sz="4" w:space="0"/>
                    <w:right w:val="single" w:color="auto" w:sz="4" w:space="0"/>
                  </w:tcBorders>
                  <w:vAlign w:val="center"/>
                </w:tcPr>
                <w:p w14:paraId="40B7A028">
                  <w:pPr>
                    <w:pStyle w:val="56"/>
                    <w:ind w:firstLine="0" w:firstLineChars="0"/>
                  </w:pPr>
                </w:p>
              </w:tc>
              <w:tc>
                <w:tcPr>
                  <w:tcW w:w="1658" w:type="dxa"/>
                  <w:tcBorders>
                    <w:top w:val="single" w:color="auto" w:sz="4" w:space="0"/>
                    <w:left w:val="single" w:color="auto" w:sz="4" w:space="0"/>
                    <w:bottom w:val="single" w:color="auto" w:sz="4" w:space="0"/>
                    <w:right w:val="single" w:color="auto" w:sz="4" w:space="0"/>
                  </w:tcBorders>
                  <w:vAlign w:val="center"/>
                </w:tcPr>
                <w:p w14:paraId="5F8805EE">
                  <w:pPr>
                    <w:pStyle w:val="56"/>
                    <w:ind w:firstLine="0" w:firstLineChars="0"/>
                  </w:pPr>
                </w:p>
              </w:tc>
              <w:tc>
                <w:tcPr>
                  <w:tcW w:w="2297" w:type="dxa"/>
                  <w:tcBorders>
                    <w:top w:val="single" w:color="auto" w:sz="4" w:space="0"/>
                    <w:left w:val="single" w:color="auto" w:sz="4" w:space="0"/>
                    <w:bottom w:val="single" w:color="auto" w:sz="4" w:space="0"/>
                    <w:right w:val="single" w:color="auto" w:sz="4" w:space="0"/>
                  </w:tcBorders>
                  <w:vAlign w:val="center"/>
                </w:tcPr>
                <w:p w14:paraId="00586EC8">
                  <w:pPr>
                    <w:pStyle w:val="56"/>
                    <w:ind w:firstLine="0" w:firstLineChars="0"/>
                  </w:pPr>
                </w:p>
              </w:tc>
              <w:tc>
                <w:tcPr>
                  <w:tcW w:w="2312" w:type="dxa"/>
                  <w:tcBorders>
                    <w:top w:val="single" w:color="auto" w:sz="4" w:space="0"/>
                    <w:left w:val="single" w:color="auto" w:sz="4" w:space="0"/>
                    <w:bottom w:val="single" w:color="auto" w:sz="4" w:space="0"/>
                    <w:right w:val="single" w:color="auto" w:sz="4" w:space="0"/>
                  </w:tcBorders>
                  <w:vAlign w:val="center"/>
                </w:tcPr>
                <w:p w14:paraId="5B9E90AC">
                  <w:pPr>
                    <w:pStyle w:val="56"/>
                    <w:ind w:firstLine="0" w:firstLineChars="0"/>
                  </w:pPr>
                </w:p>
              </w:tc>
            </w:tr>
            <w:tr w14:paraId="4875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2192" w:type="dxa"/>
                  <w:vMerge w:val="continue"/>
                  <w:tcBorders>
                    <w:top w:val="nil"/>
                    <w:left w:val="single" w:color="auto" w:sz="4" w:space="0"/>
                    <w:bottom w:val="single" w:color="auto" w:sz="4" w:space="0"/>
                    <w:right w:val="single" w:color="auto" w:sz="4" w:space="0"/>
                  </w:tcBorders>
                  <w:vAlign w:val="center"/>
                </w:tcPr>
                <w:p w14:paraId="265CA16F">
                  <w:pPr>
                    <w:pStyle w:val="56"/>
                    <w:ind w:firstLine="0" w:firstLineChars="0"/>
                  </w:pPr>
                </w:p>
              </w:tc>
              <w:tc>
                <w:tcPr>
                  <w:tcW w:w="1658" w:type="dxa"/>
                  <w:tcBorders>
                    <w:top w:val="single" w:color="auto" w:sz="4" w:space="0"/>
                    <w:left w:val="single" w:color="auto" w:sz="4" w:space="0"/>
                    <w:bottom w:val="single" w:color="auto" w:sz="4" w:space="0"/>
                    <w:right w:val="single" w:color="auto" w:sz="4" w:space="0"/>
                  </w:tcBorders>
                  <w:vAlign w:val="center"/>
                </w:tcPr>
                <w:p w14:paraId="4AA9DE30">
                  <w:pPr>
                    <w:pStyle w:val="56"/>
                    <w:ind w:firstLine="0" w:firstLineChars="0"/>
                  </w:pPr>
                </w:p>
              </w:tc>
              <w:tc>
                <w:tcPr>
                  <w:tcW w:w="2297" w:type="dxa"/>
                  <w:tcBorders>
                    <w:top w:val="single" w:color="auto" w:sz="4" w:space="0"/>
                    <w:left w:val="single" w:color="auto" w:sz="4" w:space="0"/>
                    <w:bottom w:val="single" w:color="auto" w:sz="4" w:space="0"/>
                    <w:right w:val="single" w:color="auto" w:sz="4" w:space="0"/>
                  </w:tcBorders>
                  <w:vAlign w:val="center"/>
                </w:tcPr>
                <w:p w14:paraId="71BDC07C">
                  <w:pPr>
                    <w:pStyle w:val="56"/>
                    <w:ind w:firstLine="0" w:firstLineChars="0"/>
                  </w:pPr>
                </w:p>
              </w:tc>
              <w:tc>
                <w:tcPr>
                  <w:tcW w:w="2312" w:type="dxa"/>
                  <w:tcBorders>
                    <w:top w:val="single" w:color="auto" w:sz="4" w:space="0"/>
                    <w:left w:val="single" w:color="auto" w:sz="4" w:space="0"/>
                    <w:bottom w:val="single" w:color="auto" w:sz="4" w:space="0"/>
                    <w:right w:val="single" w:color="auto" w:sz="4" w:space="0"/>
                  </w:tcBorders>
                  <w:vAlign w:val="center"/>
                </w:tcPr>
                <w:p w14:paraId="178E4837">
                  <w:pPr>
                    <w:pStyle w:val="56"/>
                    <w:ind w:firstLine="0" w:firstLineChars="0"/>
                  </w:pPr>
                </w:p>
              </w:tc>
            </w:tr>
            <w:tr w14:paraId="088EC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192" w:type="dxa"/>
                  <w:vMerge w:val="continue"/>
                  <w:tcBorders>
                    <w:top w:val="nil"/>
                    <w:left w:val="single" w:color="auto" w:sz="4" w:space="0"/>
                    <w:bottom w:val="single" w:color="auto" w:sz="4" w:space="0"/>
                    <w:right w:val="single" w:color="auto" w:sz="4" w:space="0"/>
                  </w:tcBorders>
                  <w:vAlign w:val="center"/>
                </w:tcPr>
                <w:p w14:paraId="506CA305">
                  <w:pPr>
                    <w:pStyle w:val="56"/>
                    <w:ind w:firstLine="0" w:firstLineChars="0"/>
                  </w:pPr>
                </w:p>
              </w:tc>
              <w:tc>
                <w:tcPr>
                  <w:tcW w:w="1658" w:type="dxa"/>
                  <w:tcBorders>
                    <w:top w:val="single" w:color="auto" w:sz="4" w:space="0"/>
                    <w:left w:val="single" w:color="auto" w:sz="4" w:space="0"/>
                    <w:bottom w:val="single" w:color="auto" w:sz="4" w:space="0"/>
                    <w:right w:val="single" w:color="auto" w:sz="4" w:space="0"/>
                  </w:tcBorders>
                  <w:vAlign w:val="center"/>
                </w:tcPr>
                <w:p w14:paraId="72B6CC75">
                  <w:pPr>
                    <w:pStyle w:val="56"/>
                    <w:ind w:firstLine="0" w:firstLineChars="0"/>
                  </w:pPr>
                </w:p>
              </w:tc>
              <w:tc>
                <w:tcPr>
                  <w:tcW w:w="2297" w:type="dxa"/>
                  <w:tcBorders>
                    <w:top w:val="single" w:color="auto" w:sz="4" w:space="0"/>
                    <w:left w:val="single" w:color="auto" w:sz="4" w:space="0"/>
                    <w:bottom w:val="single" w:color="auto" w:sz="4" w:space="0"/>
                    <w:right w:val="single" w:color="auto" w:sz="4" w:space="0"/>
                  </w:tcBorders>
                  <w:vAlign w:val="center"/>
                </w:tcPr>
                <w:p w14:paraId="69CE95F1">
                  <w:pPr>
                    <w:pStyle w:val="56"/>
                    <w:ind w:firstLine="0" w:firstLineChars="0"/>
                  </w:pPr>
                </w:p>
              </w:tc>
              <w:tc>
                <w:tcPr>
                  <w:tcW w:w="2312" w:type="dxa"/>
                  <w:tcBorders>
                    <w:top w:val="single" w:color="auto" w:sz="4" w:space="0"/>
                    <w:left w:val="single" w:color="auto" w:sz="4" w:space="0"/>
                    <w:bottom w:val="single" w:color="auto" w:sz="4" w:space="0"/>
                    <w:right w:val="single" w:color="auto" w:sz="4" w:space="0"/>
                  </w:tcBorders>
                  <w:vAlign w:val="center"/>
                </w:tcPr>
                <w:p w14:paraId="355B3F0E">
                  <w:pPr>
                    <w:pStyle w:val="56"/>
                    <w:ind w:firstLine="0" w:firstLineChars="0"/>
                  </w:pPr>
                </w:p>
              </w:tc>
            </w:tr>
          </w:tbl>
          <w:p w14:paraId="67E5F6F8">
            <w:pPr>
              <w:pStyle w:val="56"/>
              <w:ind w:firstLine="422"/>
            </w:pPr>
            <w:r>
              <w:rPr>
                <w:rFonts w:hint="eastAsia"/>
                <w:b/>
                <w:bCs/>
              </w:rPr>
              <w:t>4.数据质量评价(可选项)</w:t>
            </w:r>
          </w:p>
          <w:p w14:paraId="7C407E2D">
            <w:pPr>
              <w:pStyle w:val="56"/>
              <w:ind w:firstLine="420"/>
            </w:pPr>
            <w:r>
              <w:rPr>
                <w:rFonts w:hint="eastAsia"/>
              </w:rPr>
              <w:t>数据质量可从定性和定量两个方面对报告使用的初级数据和次级数据进行评价，具体评价内容包 括：数据来源、完整性、数据代表性(时间、地理、技术)和准确性。</w:t>
            </w:r>
          </w:p>
          <w:p w14:paraId="51358EBD">
            <w:pPr>
              <w:pStyle w:val="56"/>
              <w:ind w:firstLine="422"/>
            </w:pPr>
            <w:r>
              <w:rPr>
                <w:rFonts w:hint="eastAsia"/>
                <w:b/>
                <w:bCs/>
              </w:rPr>
              <w:t>五、影响评价</w:t>
            </w:r>
          </w:p>
          <w:p w14:paraId="0EB1D562">
            <w:pPr>
              <w:pStyle w:val="56"/>
              <w:ind w:firstLine="422"/>
            </w:pPr>
            <w:r>
              <w:rPr>
                <w:rFonts w:hint="eastAsia"/>
                <w:b/>
                <w:bCs/>
              </w:rPr>
              <w:t>1.影响类型和特征化因子选择</w:t>
            </w:r>
          </w:p>
          <w:p w14:paraId="5753D995">
            <w:pPr>
              <w:pStyle w:val="56"/>
              <w:ind w:firstLine="420"/>
            </w:pPr>
            <w:r>
              <w:rPr>
                <w:rFonts w:hint="eastAsia"/>
              </w:rPr>
              <w:t>一般选择IPCC给出的100年GWP。</w:t>
            </w:r>
          </w:p>
          <w:p w14:paraId="46CEFFD2">
            <w:pPr>
              <w:pStyle w:val="56"/>
              <w:ind w:firstLine="422"/>
              <w:rPr>
                <w:b/>
                <w:bCs/>
              </w:rPr>
            </w:pPr>
            <w:r>
              <w:rPr>
                <w:rFonts w:hint="eastAsia"/>
                <w:b/>
                <w:bCs/>
              </w:rPr>
              <w:t>2.产品碳足迹结果计算</w:t>
            </w:r>
          </w:p>
          <w:p w14:paraId="0E38FB33">
            <w:pPr>
              <w:pStyle w:val="56"/>
              <w:ind w:firstLine="422"/>
            </w:pPr>
            <w:r>
              <w:rPr>
                <w:rFonts w:hint="eastAsia"/>
                <w:b/>
                <w:bCs/>
              </w:rPr>
              <w:t>3.附加环境信息(如有)</w:t>
            </w:r>
          </w:p>
          <w:p w14:paraId="3B099A2F">
            <w:pPr>
              <w:pStyle w:val="56"/>
              <w:ind w:firstLine="422"/>
            </w:pPr>
            <w:r>
              <w:rPr>
                <w:rFonts w:hint="eastAsia"/>
                <w:b/>
                <w:bCs/>
              </w:rPr>
              <w:t>六、结果解释</w:t>
            </w:r>
          </w:p>
          <w:p w14:paraId="7A6CE1ED">
            <w:pPr>
              <w:pStyle w:val="56"/>
              <w:ind w:firstLine="422"/>
            </w:pPr>
            <w:r>
              <w:rPr>
                <w:rFonts w:hint="eastAsia"/>
                <w:b/>
                <w:bCs/>
              </w:rPr>
              <w:t>1.结果说明</w:t>
            </w:r>
          </w:p>
          <w:p w14:paraId="3E242DAB">
            <w:pPr>
              <w:pStyle w:val="56"/>
              <w:ind w:firstLine="420"/>
            </w:pPr>
            <w:r>
              <w:rPr>
                <w:rFonts w:hint="eastAsia"/>
                <w:u w:val="single"/>
              </w:rPr>
              <w:tab/>
            </w:r>
            <w:r>
              <w:rPr>
                <w:rFonts w:hint="eastAsia"/>
              </w:rPr>
              <w:t xml:space="preserve">公司(填写产品生产者的全名)生产的 </w:t>
            </w:r>
            <w:r>
              <w:rPr>
                <w:rFonts w:hint="eastAsia"/>
                <w:u w:val="single"/>
              </w:rPr>
              <w:t xml:space="preserve">      </w:t>
            </w:r>
            <w:r>
              <w:rPr>
                <w:rFonts w:hint="eastAsia"/>
              </w:rPr>
              <w:t xml:space="preserve"> (填写所评价的产品名称，每声明单位的产品),从 </w:t>
            </w:r>
            <w:r>
              <w:rPr>
                <w:rFonts w:hint="eastAsia"/>
                <w:u w:val="single"/>
              </w:rPr>
              <w:t xml:space="preserve">     </w:t>
            </w:r>
            <w:r>
              <w:rPr>
                <w:rFonts w:hint="eastAsia"/>
              </w:rPr>
              <w:t xml:space="preserve"> (填写某生命周期阶段)到 </w:t>
            </w:r>
            <w:r>
              <w:rPr>
                <w:rFonts w:hint="eastAsia"/>
                <w:u w:val="single"/>
              </w:rPr>
              <w:t xml:space="preserve">   </w:t>
            </w:r>
            <w:r>
              <w:rPr>
                <w:rFonts w:hint="eastAsia"/>
              </w:rPr>
              <w:t xml:space="preserve"> (填写某生命周期阶段)生命周期碳足迹为</w:t>
            </w:r>
            <w:r>
              <w:t>kgCO₂e</w:t>
            </w:r>
            <w:r>
              <w:rPr>
                <w:rFonts w:hint="eastAsia"/>
              </w:rPr>
              <w:t>。各生命周期阶段的温室气体排放情况如表2和图2所示。</w:t>
            </w:r>
          </w:p>
          <w:p w14:paraId="0CF8DA9B">
            <w:pPr>
              <w:pStyle w:val="56"/>
              <w:ind w:firstLine="0" w:firstLineChars="0"/>
              <w:jc w:val="center"/>
              <w:rPr>
                <w:b/>
                <w:bCs/>
              </w:rPr>
            </w:pPr>
            <w:r>
              <w:rPr>
                <w:rFonts w:hint="eastAsia"/>
                <w:b/>
                <w:bCs/>
              </w:rPr>
              <w:t>表2 XX产品生命周期各阶段碳排放情况</w:t>
            </w:r>
          </w:p>
          <w:tbl>
            <w:tblPr>
              <w:tblStyle w:val="26"/>
              <w:tblW w:w="8679" w:type="dxa"/>
              <w:tblInd w:w="2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21"/>
              <w:gridCol w:w="3995"/>
              <w:gridCol w:w="1663"/>
            </w:tblGrid>
            <w:tr w14:paraId="622F53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21" w:type="dxa"/>
                  <w:tcBorders>
                    <w:top w:val="single" w:color="000000" w:sz="4" w:space="0"/>
                    <w:left w:val="single" w:color="000000" w:sz="4" w:space="0"/>
                    <w:bottom w:val="single" w:color="000000" w:sz="4" w:space="0"/>
                    <w:right w:val="single" w:color="000000" w:sz="4" w:space="0"/>
                  </w:tcBorders>
                  <w:vAlign w:val="center"/>
                </w:tcPr>
                <w:p w14:paraId="41E72BD9">
                  <w:pPr>
                    <w:pStyle w:val="56"/>
                    <w:ind w:firstLine="420"/>
                    <w:jc w:val="center"/>
                  </w:pPr>
                  <w:r>
                    <w:rPr>
                      <w:rFonts w:hint="eastAsia"/>
                    </w:rPr>
                    <w:t>生命周期阶段</w:t>
                  </w:r>
                </w:p>
              </w:tc>
              <w:tc>
                <w:tcPr>
                  <w:tcW w:w="3995" w:type="dxa"/>
                  <w:tcBorders>
                    <w:top w:val="single" w:color="000000" w:sz="4" w:space="0"/>
                    <w:left w:val="single" w:color="000000" w:sz="4" w:space="0"/>
                    <w:bottom w:val="single" w:color="000000" w:sz="4" w:space="0"/>
                    <w:right w:val="single" w:color="000000" w:sz="4" w:space="0"/>
                  </w:tcBorders>
                  <w:vAlign w:val="center"/>
                </w:tcPr>
                <w:p w14:paraId="5C89FEDE">
                  <w:pPr>
                    <w:pStyle w:val="56"/>
                    <w:ind w:firstLine="420"/>
                    <w:jc w:val="center"/>
                  </w:pPr>
                  <w:r>
                    <w:rPr>
                      <w:rFonts w:hint="eastAsia"/>
                    </w:rPr>
                    <w:t>碳足迹(kgCO</w:t>
                  </w:r>
                  <w:r>
                    <w:t>₂</w:t>
                  </w:r>
                  <w:r>
                    <w:rPr>
                      <w:rFonts w:hint="eastAsia"/>
                    </w:rPr>
                    <w:t>e/声明单位)</w:t>
                  </w:r>
                </w:p>
              </w:tc>
              <w:tc>
                <w:tcPr>
                  <w:tcW w:w="1663" w:type="dxa"/>
                  <w:tcBorders>
                    <w:top w:val="single" w:color="000000" w:sz="4" w:space="0"/>
                    <w:left w:val="single" w:color="000000" w:sz="4" w:space="0"/>
                    <w:bottom w:val="single" w:color="000000" w:sz="4" w:space="0"/>
                    <w:right w:val="single" w:color="000000" w:sz="4" w:space="0"/>
                  </w:tcBorders>
                  <w:vAlign w:val="center"/>
                </w:tcPr>
                <w:p w14:paraId="35037F17">
                  <w:pPr>
                    <w:pStyle w:val="56"/>
                    <w:ind w:firstLine="420"/>
                    <w:jc w:val="center"/>
                  </w:pPr>
                  <w:r>
                    <w:rPr>
                      <w:rFonts w:hint="eastAsia"/>
                    </w:rPr>
                    <w:t>百分比(%)</w:t>
                  </w:r>
                </w:p>
              </w:tc>
            </w:tr>
            <w:tr w14:paraId="5F109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21" w:type="dxa"/>
                  <w:tcBorders>
                    <w:top w:val="single" w:color="000000" w:sz="4" w:space="0"/>
                    <w:left w:val="single" w:color="000000" w:sz="4" w:space="0"/>
                    <w:bottom w:val="single" w:color="000000" w:sz="4" w:space="0"/>
                    <w:right w:val="single" w:color="000000" w:sz="4" w:space="0"/>
                  </w:tcBorders>
                  <w:vAlign w:val="center"/>
                </w:tcPr>
                <w:p w14:paraId="4C969334">
                  <w:pPr>
                    <w:pStyle w:val="56"/>
                    <w:ind w:firstLine="420"/>
                    <w:jc w:val="center"/>
                  </w:pPr>
                  <w:r>
                    <w:rPr>
                      <w:rFonts w:hint="eastAsia"/>
                    </w:rPr>
                    <w:t>原料获取阶段</w:t>
                  </w:r>
                </w:p>
              </w:tc>
              <w:tc>
                <w:tcPr>
                  <w:tcW w:w="3995" w:type="dxa"/>
                  <w:tcBorders>
                    <w:top w:val="single" w:color="000000" w:sz="4" w:space="0"/>
                    <w:left w:val="single" w:color="000000" w:sz="4" w:space="0"/>
                    <w:bottom w:val="single" w:color="000000" w:sz="4" w:space="0"/>
                    <w:right w:val="single" w:color="000000" w:sz="4" w:space="0"/>
                  </w:tcBorders>
                  <w:vAlign w:val="center"/>
                </w:tcPr>
                <w:p w14:paraId="479A1206">
                  <w:pPr>
                    <w:pStyle w:val="56"/>
                    <w:ind w:firstLine="420"/>
                    <w:jc w:val="center"/>
                  </w:pPr>
                </w:p>
              </w:tc>
              <w:tc>
                <w:tcPr>
                  <w:tcW w:w="1663" w:type="dxa"/>
                  <w:tcBorders>
                    <w:top w:val="single" w:color="000000" w:sz="4" w:space="0"/>
                    <w:left w:val="single" w:color="000000" w:sz="4" w:space="0"/>
                    <w:bottom w:val="single" w:color="000000" w:sz="4" w:space="0"/>
                    <w:right w:val="single" w:color="000000" w:sz="4" w:space="0"/>
                  </w:tcBorders>
                  <w:vAlign w:val="center"/>
                </w:tcPr>
                <w:p w14:paraId="7CB24BBD">
                  <w:pPr>
                    <w:pStyle w:val="56"/>
                    <w:ind w:firstLine="420"/>
                    <w:jc w:val="center"/>
                  </w:pPr>
                </w:p>
              </w:tc>
            </w:tr>
            <w:tr w14:paraId="55A87A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21" w:type="dxa"/>
                  <w:tcBorders>
                    <w:top w:val="single" w:color="000000" w:sz="4" w:space="0"/>
                    <w:left w:val="single" w:color="000000" w:sz="4" w:space="0"/>
                    <w:bottom w:val="single" w:color="000000" w:sz="4" w:space="0"/>
                    <w:right w:val="single" w:color="000000" w:sz="4" w:space="0"/>
                  </w:tcBorders>
                  <w:vAlign w:val="center"/>
                </w:tcPr>
                <w:p w14:paraId="1984DF5D">
                  <w:pPr>
                    <w:pStyle w:val="56"/>
                    <w:ind w:firstLine="420"/>
                    <w:jc w:val="center"/>
                  </w:pPr>
                  <w:r>
                    <w:rPr>
                      <w:rFonts w:hint="eastAsia"/>
                    </w:rPr>
                    <w:t>产品生产阶段</w:t>
                  </w:r>
                </w:p>
              </w:tc>
              <w:tc>
                <w:tcPr>
                  <w:tcW w:w="3995" w:type="dxa"/>
                  <w:tcBorders>
                    <w:top w:val="single" w:color="000000" w:sz="4" w:space="0"/>
                    <w:left w:val="single" w:color="000000" w:sz="4" w:space="0"/>
                    <w:bottom w:val="single" w:color="000000" w:sz="4" w:space="0"/>
                    <w:right w:val="single" w:color="000000" w:sz="4" w:space="0"/>
                  </w:tcBorders>
                  <w:vAlign w:val="center"/>
                </w:tcPr>
                <w:p w14:paraId="1979AA3C">
                  <w:pPr>
                    <w:pStyle w:val="56"/>
                    <w:ind w:firstLine="420"/>
                    <w:jc w:val="center"/>
                  </w:pPr>
                </w:p>
              </w:tc>
              <w:tc>
                <w:tcPr>
                  <w:tcW w:w="1663" w:type="dxa"/>
                  <w:tcBorders>
                    <w:top w:val="single" w:color="000000" w:sz="4" w:space="0"/>
                    <w:left w:val="single" w:color="000000" w:sz="4" w:space="0"/>
                    <w:bottom w:val="single" w:color="000000" w:sz="4" w:space="0"/>
                    <w:right w:val="single" w:color="000000" w:sz="4" w:space="0"/>
                  </w:tcBorders>
                  <w:vAlign w:val="center"/>
                </w:tcPr>
                <w:p w14:paraId="6B848328">
                  <w:pPr>
                    <w:pStyle w:val="56"/>
                    <w:ind w:firstLine="420"/>
                    <w:jc w:val="center"/>
                  </w:pPr>
                </w:p>
              </w:tc>
            </w:tr>
            <w:tr w14:paraId="467E1D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21" w:type="dxa"/>
                  <w:tcBorders>
                    <w:top w:val="single" w:color="000000" w:sz="4" w:space="0"/>
                    <w:left w:val="single" w:color="000000" w:sz="4" w:space="0"/>
                    <w:bottom w:val="single" w:color="000000" w:sz="4" w:space="0"/>
                    <w:right w:val="single" w:color="000000" w:sz="4" w:space="0"/>
                  </w:tcBorders>
                  <w:vAlign w:val="center"/>
                </w:tcPr>
                <w:p w14:paraId="3B776DCE">
                  <w:pPr>
                    <w:pStyle w:val="56"/>
                    <w:ind w:firstLine="420"/>
                    <w:jc w:val="center"/>
                  </w:pPr>
                  <w:r>
                    <w:rPr>
                      <w:rFonts w:hint="eastAsia"/>
                    </w:rPr>
                    <w:t>总计</w:t>
                  </w:r>
                </w:p>
              </w:tc>
              <w:tc>
                <w:tcPr>
                  <w:tcW w:w="3995" w:type="dxa"/>
                  <w:tcBorders>
                    <w:top w:val="single" w:color="000000" w:sz="4" w:space="0"/>
                    <w:left w:val="single" w:color="000000" w:sz="4" w:space="0"/>
                    <w:bottom w:val="single" w:color="000000" w:sz="4" w:space="0"/>
                    <w:right w:val="single" w:color="000000" w:sz="4" w:space="0"/>
                  </w:tcBorders>
                  <w:vAlign w:val="center"/>
                </w:tcPr>
                <w:p w14:paraId="6FBC56B1">
                  <w:pPr>
                    <w:pStyle w:val="56"/>
                    <w:ind w:firstLine="420"/>
                    <w:jc w:val="center"/>
                  </w:pPr>
                </w:p>
              </w:tc>
              <w:tc>
                <w:tcPr>
                  <w:tcW w:w="1663" w:type="dxa"/>
                  <w:tcBorders>
                    <w:top w:val="single" w:color="000000" w:sz="4" w:space="0"/>
                    <w:left w:val="single" w:color="000000" w:sz="4" w:space="0"/>
                    <w:bottom w:val="single" w:color="000000" w:sz="4" w:space="0"/>
                    <w:right w:val="single" w:color="000000" w:sz="4" w:space="0"/>
                  </w:tcBorders>
                  <w:vAlign w:val="center"/>
                </w:tcPr>
                <w:p w14:paraId="2756C2DB">
                  <w:pPr>
                    <w:pStyle w:val="56"/>
                    <w:ind w:firstLine="420"/>
                    <w:jc w:val="center"/>
                  </w:pPr>
                </w:p>
              </w:tc>
            </w:tr>
          </w:tbl>
          <w:p w14:paraId="6F3CD96F">
            <w:pPr>
              <w:pStyle w:val="56"/>
              <w:ind w:firstLine="420"/>
            </w:pPr>
            <w:r>
              <w:rPr>
                <w:rFonts w:hint="eastAsia"/>
              </w:rPr>
              <w:t xml:space="preserve"> 注：具体产品生命周期阶段碳排放分布图一般以饼状图或柱形图表示各生命周期阶段的碳排放情况。</w:t>
            </w:r>
          </w:p>
          <w:p w14:paraId="0C6E5F8E">
            <w:pPr>
              <w:pStyle w:val="56"/>
              <w:ind w:firstLine="422"/>
              <w:rPr>
                <w:b/>
                <w:bCs/>
              </w:rPr>
            </w:pPr>
          </w:p>
          <w:p w14:paraId="0154712E">
            <w:pPr>
              <w:pStyle w:val="56"/>
              <w:ind w:firstLine="422"/>
              <w:rPr>
                <w:b/>
                <w:bCs/>
              </w:rPr>
            </w:pPr>
          </w:p>
          <w:p w14:paraId="4F3A5A8A">
            <w:pPr>
              <w:pStyle w:val="56"/>
              <w:ind w:firstLine="422"/>
              <w:rPr>
                <w:b/>
                <w:bCs/>
              </w:rPr>
            </w:pPr>
          </w:p>
          <w:p w14:paraId="27F3AE4A">
            <w:pPr>
              <w:pStyle w:val="56"/>
              <w:ind w:firstLine="422"/>
              <w:rPr>
                <w:b/>
                <w:bCs/>
              </w:rPr>
            </w:pPr>
          </w:p>
          <w:p w14:paraId="0CB03272">
            <w:pPr>
              <w:pStyle w:val="56"/>
              <w:ind w:firstLine="422"/>
              <w:rPr>
                <w:b/>
                <w:bCs/>
              </w:rPr>
            </w:pPr>
          </w:p>
          <w:p w14:paraId="5E8BF429">
            <w:pPr>
              <w:pStyle w:val="56"/>
              <w:ind w:firstLine="0" w:firstLineChars="0"/>
              <w:jc w:val="center"/>
              <w:rPr>
                <w:b/>
                <w:bCs/>
              </w:rPr>
            </w:pPr>
            <w:r>
              <w:rPr>
                <w:rFonts w:hint="eastAsia"/>
                <w:b/>
                <w:bCs/>
              </w:rPr>
              <w:t>图2 XX产品各生命周期阶段碳排放分布图</w:t>
            </w:r>
          </w:p>
          <w:p w14:paraId="3A22C44D">
            <w:pPr>
              <w:pStyle w:val="56"/>
              <w:ind w:firstLine="422"/>
            </w:pPr>
            <w:r>
              <w:rPr>
                <w:rFonts w:hint="eastAsia"/>
                <w:b/>
                <w:bCs/>
              </w:rPr>
              <w:t>2.假设和局限性说明(可选项)</w:t>
            </w:r>
          </w:p>
          <w:p w14:paraId="62D19E07">
            <w:pPr>
              <w:pStyle w:val="56"/>
              <w:ind w:firstLine="420"/>
            </w:pPr>
            <w:r>
              <w:rPr>
                <w:rFonts w:hint="eastAsia"/>
              </w:rPr>
              <w:t>结合量化情况，对范围、数据选择、情景设定等相关的假设和局限进行说明。</w:t>
            </w:r>
          </w:p>
          <w:p w14:paraId="1EA86D81">
            <w:pPr>
              <w:pStyle w:val="56"/>
              <w:ind w:firstLine="422"/>
              <w:rPr>
                <w:b/>
                <w:bCs/>
              </w:rPr>
            </w:pPr>
            <w:r>
              <w:rPr>
                <w:rFonts w:hint="eastAsia"/>
                <w:b/>
                <w:bCs/>
              </w:rPr>
              <w:t>3.改进建议</w:t>
            </w:r>
          </w:p>
          <w:p w14:paraId="3E7DA41D">
            <w:pPr>
              <w:pStyle w:val="56"/>
              <w:ind w:firstLine="422"/>
            </w:pPr>
            <w:r>
              <w:rPr>
                <w:rFonts w:hint="eastAsia"/>
                <w:b/>
                <w:bCs/>
              </w:rPr>
              <w:t>4.产品碳足迹绩效追踪(如有)</w:t>
            </w:r>
          </w:p>
        </w:tc>
      </w:tr>
      <w:bookmarkEnd w:id="152"/>
    </w:tbl>
    <w:p w14:paraId="7BEE6147">
      <w:pPr>
        <w:pStyle w:val="56"/>
        <w:ind w:firstLine="0" w:firstLineChars="0"/>
        <w:jc w:val="center"/>
      </w:pPr>
      <w:bookmarkStart w:id="179" w:name="BookMark8"/>
      <w:r>
        <w:rPr>
          <w:rFonts w:hint="eastAsia"/>
        </w:rPr>
        <w:drawing>
          <wp:inline distT="0" distB="0" distL="0" distR="0">
            <wp:extent cx="1485900" cy="317500"/>
            <wp:effectExtent l="0" t="0" r="0" b="6350"/>
            <wp:docPr id="1973520183" name="图片 3"/>
            <wp:cNvGraphicFramePr/>
            <a:graphic xmlns:a="http://schemas.openxmlformats.org/drawingml/2006/main">
              <a:graphicData uri="http://schemas.openxmlformats.org/drawingml/2006/picture">
                <pic:pic xmlns:pic="http://schemas.openxmlformats.org/drawingml/2006/picture">
                  <pic:nvPicPr>
                    <pic:cNvPr id="197352018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9"/>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9F0B2">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724B2">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8CA23">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00ED6">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76EEB">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BF3AA">
    <w:pPr>
      <w:pStyle w:val="61"/>
      <w:rPr>
        <w:rFonts w:hint="eastAsia"/>
      </w:rPr>
    </w:pPr>
    <w:r>
      <w:fldChar w:fldCharType="begin"/>
    </w:r>
    <w:r>
      <w:instrText xml:space="preserve"> STYLEREF  标准文件_文件编号  \* MERGEFORMAT </w:instrText>
    </w:r>
    <w:r>
      <w:fldChar w:fldCharType="separate"/>
    </w:r>
    <w:r>
      <w:t>T/GXAS XXXX—2026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BF699">
    <w:pPr>
      <w:pStyle w:val="18"/>
      <w:jc w:val="right"/>
    </w:pPr>
    <w:r>
      <w:fldChar w:fldCharType="begin"/>
    </w:r>
    <w:r>
      <w:instrText xml:space="preserve"> STYLEREF  标准文件_文件编号  \* MERGEFORMAT </w:instrText>
    </w:r>
    <w:r>
      <w:fldChar w:fldCharType="separate"/>
    </w:r>
    <w:r>
      <w:t>T/GXAS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attachedTemplate r:id="rId1"/>
  <w:documentProtection w:edit="forms" w:enforcement="1" w:cryptProviderType="rsaAES" w:cryptAlgorithmClass="hash" w:cryptAlgorithmType="typeAny" w:cryptAlgorithmSid="14" w:cryptSpinCount="100000" w:hash="4M5xHQ7XtJB7VrRr+KXeo9GcNh+Q69tIBMoQgnWT/PicOWSwNvyBmFAseqcn29IA5XaIg0B2oF+w5mksMgLVAg==" w:salt="bddVb/5ZjmTd3J6JuuTRN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375"/>
    <w:rsid w:val="0000040A"/>
    <w:rsid w:val="00000A94"/>
    <w:rsid w:val="00001972"/>
    <w:rsid w:val="00001D9A"/>
    <w:rsid w:val="00007B3A"/>
    <w:rsid w:val="000107E0"/>
    <w:rsid w:val="00011FDE"/>
    <w:rsid w:val="00012FFD"/>
    <w:rsid w:val="00014162"/>
    <w:rsid w:val="00014340"/>
    <w:rsid w:val="00016A9C"/>
    <w:rsid w:val="00022184"/>
    <w:rsid w:val="00022762"/>
    <w:rsid w:val="00023292"/>
    <w:rsid w:val="000238E0"/>
    <w:rsid w:val="000249DB"/>
    <w:rsid w:val="0002595E"/>
    <w:rsid w:val="000303C3"/>
    <w:rsid w:val="000331D3"/>
    <w:rsid w:val="000346A5"/>
    <w:rsid w:val="000359C3"/>
    <w:rsid w:val="00035A7D"/>
    <w:rsid w:val="000365ED"/>
    <w:rsid w:val="00037A1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4BE"/>
    <w:rsid w:val="00082317"/>
    <w:rsid w:val="000831B0"/>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96E"/>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8A4"/>
    <w:rsid w:val="000D329A"/>
    <w:rsid w:val="000D4B9C"/>
    <w:rsid w:val="000D4EB6"/>
    <w:rsid w:val="000D753B"/>
    <w:rsid w:val="000E4C9E"/>
    <w:rsid w:val="000E6FD7"/>
    <w:rsid w:val="000E7144"/>
    <w:rsid w:val="000F06E1"/>
    <w:rsid w:val="000F0E3C"/>
    <w:rsid w:val="000F10DF"/>
    <w:rsid w:val="000F19D5"/>
    <w:rsid w:val="000F4050"/>
    <w:rsid w:val="000F4AEA"/>
    <w:rsid w:val="000F67E9"/>
    <w:rsid w:val="00104926"/>
    <w:rsid w:val="001132A4"/>
    <w:rsid w:val="00113B1E"/>
    <w:rsid w:val="0011711C"/>
    <w:rsid w:val="00124E4F"/>
    <w:rsid w:val="001260B7"/>
    <w:rsid w:val="001265CB"/>
    <w:rsid w:val="001321C6"/>
    <w:rsid w:val="001325C4"/>
    <w:rsid w:val="00133010"/>
    <w:rsid w:val="001338EE"/>
    <w:rsid w:val="00133AAE"/>
    <w:rsid w:val="00135323"/>
    <w:rsid w:val="001356C4"/>
    <w:rsid w:val="0013677C"/>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C44"/>
    <w:rsid w:val="00176DFD"/>
    <w:rsid w:val="00180A54"/>
    <w:rsid w:val="00184101"/>
    <w:rsid w:val="001852C9"/>
    <w:rsid w:val="00187A0B"/>
    <w:rsid w:val="00190087"/>
    <w:rsid w:val="001913C4"/>
    <w:rsid w:val="0019348F"/>
    <w:rsid w:val="00193A07"/>
    <w:rsid w:val="00194C95"/>
    <w:rsid w:val="00195C34"/>
    <w:rsid w:val="00196EF5"/>
    <w:rsid w:val="001A1A53"/>
    <w:rsid w:val="001A234A"/>
    <w:rsid w:val="001A4CF3"/>
    <w:rsid w:val="001A6696"/>
    <w:rsid w:val="001B0616"/>
    <w:rsid w:val="001B06E8"/>
    <w:rsid w:val="001B1205"/>
    <w:rsid w:val="001B4691"/>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6AC"/>
    <w:rsid w:val="001E73AB"/>
    <w:rsid w:val="001F092D"/>
    <w:rsid w:val="001F143A"/>
    <w:rsid w:val="001F1605"/>
    <w:rsid w:val="001F2508"/>
    <w:rsid w:val="001F44A4"/>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1F94"/>
    <w:rsid w:val="00233D64"/>
    <w:rsid w:val="00233D93"/>
    <w:rsid w:val="0023482A"/>
    <w:rsid w:val="002359CB"/>
    <w:rsid w:val="00243540"/>
    <w:rsid w:val="0024497B"/>
    <w:rsid w:val="0024515B"/>
    <w:rsid w:val="00246021"/>
    <w:rsid w:val="0024666E"/>
    <w:rsid w:val="00247F52"/>
    <w:rsid w:val="00250B25"/>
    <w:rsid w:val="00250BBE"/>
    <w:rsid w:val="002515C2"/>
    <w:rsid w:val="0025194F"/>
    <w:rsid w:val="002529E7"/>
    <w:rsid w:val="0025511C"/>
    <w:rsid w:val="00255564"/>
    <w:rsid w:val="0026148A"/>
    <w:rsid w:val="00262696"/>
    <w:rsid w:val="00263D25"/>
    <w:rsid w:val="002643C3"/>
    <w:rsid w:val="00264A0C"/>
    <w:rsid w:val="00266024"/>
    <w:rsid w:val="00266EEB"/>
    <w:rsid w:val="00267EF4"/>
    <w:rsid w:val="00270A85"/>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9A4"/>
    <w:rsid w:val="002A25DC"/>
    <w:rsid w:val="002A3AAB"/>
    <w:rsid w:val="002A4CEA"/>
    <w:rsid w:val="002A5977"/>
    <w:rsid w:val="002A5A13"/>
    <w:rsid w:val="002A757F"/>
    <w:rsid w:val="002A7F44"/>
    <w:rsid w:val="002B0C40"/>
    <w:rsid w:val="002B1966"/>
    <w:rsid w:val="002B4508"/>
    <w:rsid w:val="002B5642"/>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4652"/>
    <w:rsid w:val="003474AA"/>
    <w:rsid w:val="00350D1D"/>
    <w:rsid w:val="00352C83"/>
    <w:rsid w:val="00352F1A"/>
    <w:rsid w:val="0036107C"/>
    <w:rsid w:val="003615D2"/>
    <w:rsid w:val="003627AF"/>
    <w:rsid w:val="0036429C"/>
    <w:rsid w:val="00364A53"/>
    <w:rsid w:val="003654CB"/>
    <w:rsid w:val="00365AA9"/>
    <w:rsid w:val="00365F86"/>
    <w:rsid w:val="00365F87"/>
    <w:rsid w:val="00366E89"/>
    <w:rsid w:val="003705F4"/>
    <w:rsid w:val="00370D58"/>
    <w:rsid w:val="00371316"/>
    <w:rsid w:val="00376713"/>
    <w:rsid w:val="003811E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0A67"/>
    <w:rsid w:val="003F23D3"/>
    <w:rsid w:val="003F3F08"/>
    <w:rsid w:val="003F49F1"/>
    <w:rsid w:val="003F6272"/>
    <w:rsid w:val="00400E72"/>
    <w:rsid w:val="00401400"/>
    <w:rsid w:val="00404869"/>
    <w:rsid w:val="00405884"/>
    <w:rsid w:val="004078F6"/>
    <w:rsid w:val="00407D39"/>
    <w:rsid w:val="0041477A"/>
    <w:rsid w:val="004167A3"/>
    <w:rsid w:val="00432DAA"/>
    <w:rsid w:val="00434305"/>
    <w:rsid w:val="00435DF7"/>
    <w:rsid w:val="0043741A"/>
    <w:rsid w:val="0044083F"/>
    <w:rsid w:val="00441AE7"/>
    <w:rsid w:val="00443097"/>
    <w:rsid w:val="00445574"/>
    <w:rsid w:val="004467FB"/>
    <w:rsid w:val="00446D11"/>
    <w:rsid w:val="00452D6B"/>
    <w:rsid w:val="00454484"/>
    <w:rsid w:val="0045517B"/>
    <w:rsid w:val="00463B77"/>
    <w:rsid w:val="00463C7B"/>
    <w:rsid w:val="004644A6"/>
    <w:rsid w:val="004659BD"/>
    <w:rsid w:val="00470775"/>
    <w:rsid w:val="00471776"/>
    <w:rsid w:val="004746B1"/>
    <w:rsid w:val="0047583F"/>
    <w:rsid w:val="00475DE8"/>
    <w:rsid w:val="00481C44"/>
    <w:rsid w:val="00482A03"/>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7CF2"/>
    <w:rsid w:val="004C1FBC"/>
    <w:rsid w:val="004C25A2"/>
    <w:rsid w:val="004C3F1D"/>
    <w:rsid w:val="004C458D"/>
    <w:rsid w:val="004C7556"/>
    <w:rsid w:val="004C7E8B"/>
    <w:rsid w:val="004C7E9D"/>
    <w:rsid w:val="004C7F67"/>
    <w:rsid w:val="004D076D"/>
    <w:rsid w:val="004D0EF1"/>
    <w:rsid w:val="004D2253"/>
    <w:rsid w:val="004D3ED0"/>
    <w:rsid w:val="004D4406"/>
    <w:rsid w:val="004D7C42"/>
    <w:rsid w:val="004E0465"/>
    <w:rsid w:val="004E127B"/>
    <w:rsid w:val="004E1C0A"/>
    <w:rsid w:val="004E30C5"/>
    <w:rsid w:val="004E3EB1"/>
    <w:rsid w:val="004E4AA5"/>
    <w:rsid w:val="004E4AEE"/>
    <w:rsid w:val="004E59E3"/>
    <w:rsid w:val="004E63D4"/>
    <w:rsid w:val="004E67C0"/>
    <w:rsid w:val="004F391A"/>
    <w:rsid w:val="004F3CFB"/>
    <w:rsid w:val="004F6456"/>
    <w:rsid w:val="004F696E"/>
    <w:rsid w:val="004F6C71"/>
    <w:rsid w:val="00501139"/>
    <w:rsid w:val="00501E9F"/>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07A"/>
    <w:rsid w:val="00533D04"/>
    <w:rsid w:val="00534804"/>
    <w:rsid w:val="00534BDF"/>
    <w:rsid w:val="005354EA"/>
    <w:rsid w:val="0053585F"/>
    <w:rsid w:val="00535EC4"/>
    <w:rsid w:val="00535ED9"/>
    <w:rsid w:val="0053692B"/>
    <w:rsid w:val="00541853"/>
    <w:rsid w:val="00543BDA"/>
    <w:rsid w:val="005441CC"/>
    <w:rsid w:val="005479DA"/>
    <w:rsid w:val="00547A9F"/>
    <w:rsid w:val="00547BCC"/>
    <w:rsid w:val="0055013B"/>
    <w:rsid w:val="00551F6F"/>
    <w:rsid w:val="005526A1"/>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58FC"/>
    <w:rsid w:val="005D6A95"/>
    <w:rsid w:val="005D6B2C"/>
    <w:rsid w:val="005D6D9C"/>
    <w:rsid w:val="005E2335"/>
    <w:rsid w:val="005E34CA"/>
    <w:rsid w:val="005E3C18"/>
    <w:rsid w:val="005E4250"/>
    <w:rsid w:val="005E6812"/>
    <w:rsid w:val="005E7881"/>
    <w:rsid w:val="005E78E0"/>
    <w:rsid w:val="005F0D9C"/>
    <w:rsid w:val="005F284E"/>
    <w:rsid w:val="005F449C"/>
    <w:rsid w:val="00600445"/>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093"/>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D9D"/>
    <w:rsid w:val="00693962"/>
    <w:rsid w:val="00693DFD"/>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5D32"/>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522"/>
    <w:rsid w:val="007501A8"/>
    <w:rsid w:val="00750D61"/>
    <w:rsid w:val="00750EE1"/>
    <w:rsid w:val="00752B4D"/>
    <w:rsid w:val="00755402"/>
    <w:rsid w:val="00756B26"/>
    <w:rsid w:val="00756EDF"/>
    <w:rsid w:val="00757E77"/>
    <w:rsid w:val="007600E3"/>
    <w:rsid w:val="00765C43"/>
    <w:rsid w:val="00765EFB"/>
    <w:rsid w:val="007671CA"/>
    <w:rsid w:val="00767C61"/>
    <w:rsid w:val="0077008A"/>
    <w:rsid w:val="00771766"/>
    <w:rsid w:val="00773C1F"/>
    <w:rsid w:val="00774DA4"/>
    <w:rsid w:val="00776599"/>
    <w:rsid w:val="0078114B"/>
    <w:rsid w:val="00781DD2"/>
    <w:rsid w:val="00783ECF"/>
    <w:rsid w:val="0078413A"/>
    <w:rsid w:val="007855C7"/>
    <w:rsid w:val="007959E8"/>
    <w:rsid w:val="00795E9C"/>
    <w:rsid w:val="00797E13"/>
    <w:rsid w:val="007A0521"/>
    <w:rsid w:val="007A1FBF"/>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C6375"/>
    <w:rsid w:val="007D06C4"/>
    <w:rsid w:val="007D1352"/>
    <w:rsid w:val="007D2508"/>
    <w:rsid w:val="007D346A"/>
    <w:rsid w:val="007D6518"/>
    <w:rsid w:val="007D76BD"/>
    <w:rsid w:val="007E0BF1"/>
    <w:rsid w:val="007F004E"/>
    <w:rsid w:val="007F0ED8"/>
    <w:rsid w:val="007F0F63"/>
    <w:rsid w:val="007F75CE"/>
    <w:rsid w:val="008013A4"/>
    <w:rsid w:val="008027CE"/>
    <w:rsid w:val="00802F42"/>
    <w:rsid w:val="00803446"/>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47E9"/>
    <w:rsid w:val="008454F8"/>
    <w:rsid w:val="0085173A"/>
    <w:rsid w:val="00856EF9"/>
    <w:rsid w:val="008603CE"/>
    <w:rsid w:val="008620FC"/>
    <w:rsid w:val="00862300"/>
    <w:rsid w:val="008627A5"/>
    <w:rsid w:val="00863E05"/>
    <w:rsid w:val="00865ACA"/>
    <w:rsid w:val="00865D28"/>
    <w:rsid w:val="00865F85"/>
    <w:rsid w:val="00867C10"/>
    <w:rsid w:val="00870439"/>
    <w:rsid w:val="00870DA1"/>
    <w:rsid w:val="00875D9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66A"/>
    <w:rsid w:val="008C1797"/>
    <w:rsid w:val="008C219C"/>
    <w:rsid w:val="008C2A01"/>
    <w:rsid w:val="008C475E"/>
    <w:rsid w:val="008C619A"/>
    <w:rsid w:val="008D0CE8"/>
    <w:rsid w:val="008D2D1D"/>
    <w:rsid w:val="008D36AA"/>
    <w:rsid w:val="008D40C8"/>
    <w:rsid w:val="008D453D"/>
    <w:rsid w:val="008D53AD"/>
    <w:rsid w:val="008D53E7"/>
    <w:rsid w:val="008D562B"/>
    <w:rsid w:val="008D5733"/>
    <w:rsid w:val="008D622B"/>
    <w:rsid w:val="008D666C"/>
    <w:rsid w:val="008D7B54"/>
    <w:rsid w:val="008E0C9D"/>
    <w:rsid w:val="008E1648"/>
    <w:rsid w:val="008E1B3E"/>
    <w:rsid w:val="008E2319"/>
    <w:rsid w:val="008E4BB6"/>
    <w:rsid w:val="008E5518"/>
    <w:rsid w:val="008E6A84"/>
    <w:rsid w:val="008F0A54"/>
    <w:rsid w:val="008F0CDC"/>
    <w:rsid w:val="008F17A3"/>
    <w:rsid w:val="008F1ED3"/>
    <w:rsid w:val="008F4C29"/>
    <w:rsid w:val="008F70BD"/>
    <w:rsid w:val="008F788F"/>
    <w:rsid w:val="008F7EA2"/>
    <w:rsid w:val="00902722"/>
    <w:rsid w:val="009027BC"/>
    <w:rsid w:val="009062E6"/>
    <w:rsid w:val="00911BE5"/>
    <w:rsid w:val="00912A5C"/>
    <w:rsid w:val="00913679"/>
    <w:rsid w:val="00913CA9"/>
    <w:rsid w:val="009145AE"/>
    <w:rsid w:val="009146CE"/>
    <w:rsid w:val="00914CA7"/>
    <w:rsid w:val="00915C3E"/>
    <w:rsid w:val="009161A8"/>
    <w:rsid w:val="009245AE"/>
    <w:rsid w:val="009245F5"/>
    <w:rsid w:val="009249EC"/>
    <w:rsid w:val="009273B3"/>
    <w:rsid w:val="009305B5"/>
    <w:rsid w:val="00933811"/>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0B3"/>
    <w:rsid w:val="00970CDC"/>
    <w:rsid w:val="00975727"/>
    <w:rsid w:val="00977010"/>
    <w:rsid w:val="00977312"/>
    <w:rsid w:val="00977D02"/>
    <w:rsid w:val="00977FF9"/>
    <w:rsid w:val="009809BB"/>
    <w:rsid w:val="0098364B"/>
    <w:rsid w:val="009908A3"/>
    <w:rsid w:val="009911AF"/>
    <w:rsid w:val="00991875"/>
    <w:rsid w:val="00991F92"/>
    <w:rsid w:val="00992985"/>
    <w:rsid w:val="00993889"/>
    <w:rsid w:val="0099551B"/>
    <w:rsid w:val="00996BD2"/>
    <w:rsid w:val="00996BFF"/>
    <w:rsid w:val="00997BF1"/>
    <w:rsid w:val="009A089C"/>
    <w:rsid w:val="009A118E"/>
    <w:rsid w:val="009A21CD"/>
    <w:rsid w:val="009A278C"/>
    <w:rsid w:val="009A2BC2"/>
    <w:rsid w:val="009A42C1"/>
    <w:rsid w:val="009A4F67"/>
    <w:rsid w:val="009A5429"/>
    <w:rsid w:val="009A72AD"/>
    <w:rsid w:val="009B09E0"/>
    <w:rsid w:val="009B0BC5"/>
    <w:rsid w:val="009B1247"/>
    <w:rsid w:val="009B6029"/>
    <w:rsid w:val="009B6971"/>
    <w:rsid w:val="009C166B"/>
    <w:rsid w:val="009C27F1"/>
    <w:rsid w:val="009C3146"/>
    <w:rsid w:val="009C3152"/>
    <w:rsid w:val="009C3257"/>
    <w:rsid w:val="009C4CFA"/>
    <w:rsid w:val="009C5070"/>
    <w:rsid w:val="009D00E2"/>
    <w:rsid w:val="009D0FD2"/>
    <w:rsid w:val="009D112C"/>
    <w:rsid w:val="009D120A"/>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1F28"/>
    <w:rsid w:val="00A32D73"/>
    <w:rsid w:val="00A3367B"/>
    <w:rsid w:val="00A33C67"/>
    <w:rsid w:val="00A3597D"/>
    <w:rsid w:val="00A36DD1"/>
    <w:rsid w:val="00A4006C"/>
    <w:rsid w:val="00A40091"/>
    <w:rsid w:val="00A4030F"/>
    <w:rsid w:val="00A41C79"/>
    <w:rsid w:val="00A41CB5"/>
    <w:rsid w:val="00A42CDF"/>
    <w:rsid w:val="00A4452E"/>
    <w:rsid w:val="00A4469A"/>
    <w:rsid w:val="00A4472C"/>
    <w:rsid w:val="00A44E69"/>
    <w:rsid w:val="00A4661E"/>
    <w:rsid w:val="00A5010C"/>
    <w:rsid w:val="00A55BD6"/>
    <w:rsid w:val="00A55D2D"/>
    <w:rsid w:val="00A55D50"/>
    <w:rsid w:val="00A57142"/>
    <w:rsid w:val="00A6339D"/>
    <w:rsid w:val="00A648CD"/>
    <w:rsid w:val="00A6537A"/>
    <w:rsid w:val="00A67866"/>
    <w:rsid w:val="00A70B07"/>
    <w:rsid w:val="00A723F8"/>
    <w:rsid w:val="00A77CCB"/>
    <w:rsid w:val="00A83D8D"/>
    <w:rsid w:val="00A8446B"/>
    <w:rsid w:val="00A8473F"/>
    <w:rsid w:val="00A862D6"/>
    <w:rsid w:val="00A8715E"/>
    <w:rsid w:val="00A9295B"/>
    <w:rsid w:val="00A93B09"/>
    <w:rsid w:val="00A94596"/>
    <w:rsid w:val="00A952D7"/>
    <w:rsid w:val="00A963F7"/>
    <w:rsid w:val="00A96AD8"/>
    <w:rsid w:val="00AA052C"/>
    <w:rsid w:val="00AA1E45"/>
    <w:rsid w:val="00AA4286"/>
    <w:rsid w:val="00AA456B"/>
    <w:rsid w:val="00AA57F5"/>
    <w:rsid w:val="00AA672E"/>
    <w:rsid w:val="00AA6EC9"/>
    <w:rsid w:val="00AA7DFF"/>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920"/>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A15"/>
    <w:rsid w:val="00B261F1"/>
    <w:rsid w:val="00B265BC"/>
    <w:rsid w:val="00B31FB1"/>
    <w:rsid w:val="00B33952"/>
    <w:rsid w:val="00B33C5E"/>
    <w:rsid w:val="00B342F4"/>
    <w:rsid w:val="00B34369"/>
    <w:rsid w:val="00B34DC2"/>
    <w:rsid w:val="00B378E5"/>
    <w:rsid w:val="00B4346D"/>
    <w:rsid w:val="00B440D5"/>
    <w:rsid w:val="00B440F4"/>
    <w:rsid w:val="00B447A5"/>
    <w:rsid w:val="00B4654C"/>
    <w:rsid w:val="00B47293"/>
    <w:rsid w:val="00B50E50"/>
    <w:rsid w:val="00B52120"/>
    <w:rsid w:val="00B54ABC"/>
    <w:rsid w:val="00B553C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21E"/>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81D"/>
    <w:rsid w:val="00C521D6"/>
    <w:rsid w:val="00C54131"/>
    <w:rsid w:val="00C55232"/>
    <w:rsid w:val="00C553A4"/>
    <w:rsid w:val="00C55A06"/>
    <w:rsid w:val="00C55D03"/>
    <w:rsid w:val="00C601BC"/>
    <w:rsid w:val="00C6329F"/>
    <w:rsid w:val="00C63340"/>
    <w:rsid w:val="00C643F9"/>
    <w:rsid w:val="00C64E95"/>
    <w:rsid w:val="00C655E7"/>
    <w:rsid w:val="00C71372"/>
    <w:rsid w:val="00C72410"/>
    <w:rsid w:val="00C7287F"/>
    <w:rsid w:val="00C80CB8"/>
    <w:rsid w:val="00C819F8"/>
    <w:rsid w:val="00C8248C"/>
    <w:rsid w:val="00C83899"/>
    <w:rsid w:val="00C84E33"/>
    <w:rsid w:val="00C85F84"/>
    <w:rsid w:val="00C86D6F"/>
    <w:rsid w:val="00C905FC"/>
    <w:rsid w:val="00C92D03"/>
    <w:rsid w:val="00C9319C"/>
    <w:rsid w:val="00C9435D"/>
    <w:rsid w:val="00C94DF2"/>
    <w:rsid w:val="00C96741"/>
    <w:rsid w:val="00CA2D1B"/>
    <w:rsid w:val="00CA375D"/>
    <w:rsid w:val="00CA3A91"/>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247"/>
    <w:rsid w:val="00CE0C4F"/>
    <w:rsid w:val="00CE30EA"/>
    <w:rsid w:val="00CF048A"/>
    <w:rsid w:val="00CF155A"/>
    <w:rsid w:val="00CF2947"/>
    <w:rsid w:val="00CF686F"/>
    <w:rsid w:val="00CF6E60"/>
    <w:rsid w:val="00CF7BCA"/>
    <w:rsid w:val="00D008FD"/>
    <w:rsid w:val="00D0321C"/>
    <w:rsid w:val="00D035EC"/>
    <w:rsid w:val="00D038E5"/>
    <w:rsid w:val="00D06AB1"/>
    <w:rsid w:val="00D06FC1"/>
    <w:rsid w:val="00D072ED"/>
    <w:rsid w:val="00D07A16"/>
    <w:rsid w:val="00D1067E"/>
    <w:rsid w:val="00D10F50"/>
    <w:rsid w:val="00D11272"/>
    <w:rsid w:val="00D126F5"/>
    <w:rsid w:val="00D1489E"/>
    <w:rsid w:val="00D17B6C"/>
    <w:rsid w:val="00D20737"/>
    <w:rsid w:val="00D21E81"/>
    <w:rsid w:val="00D223DE"/>
    <w:rsid w:val="00D23B05"/>
    <w:rsid w:val="00D25AC3"/>
    <w:rsid w:val="00D25E37"/>
    <w:rsid w:val="00D2661A"/>
    <w:rsid w:val="00D27582"/>
    <w:rsid w:val="00D27EC4"/>
    <w:rsid w:val="00D306FD"/>
    <w:rsid w:val="00D32719"/>
    <w:rsid w:val="00D33333"/>
    <w:rsid w:val="00D352A2"/>
    <w:rsid w:val="00D4162B"/>
    <w:rsid w:val="00D4514F"/>
    <w:rsid w:val="00D451E2"/>
    <w:rsid w:val="00D45E89"/>
    <w:rsid w:val="00D45E8D"/>
    <w:rsid w:val="00D466AE"/>
    <w:rsid w:val="00D4734F"/>
    <w:rsid w:val="00D51BF3"/>
    <w:rsid w:val="00D61EEA"/>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174"/>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01F"/>
    <w:rsid w:val="00DE2410"/>
    <w:rsid w:val="00DE2939"/>
    <w:rsid w:val="00DE6E81"/>
    <w:rsid w:val="00DE703F"/>
    <w:rsid w:val="00DE7595"/>
    <w:rsid w:val="00DF0241"/>
    <w:rsid w:val="00DF1961"/>
    <w:rsid w:val="00DF44DE"/>
    <w:rsid w:val="00E01138"/>
    <w:rsid w:val="00E01A0D"/>
    <w:rsid w:val="00E02DFB"/>
    <w:rsid w:val="00E030F9"/>
    <w:rsid w:val="00E0311A"/>
    <w:rsid w:val="00E03138"/>
    <w:rsid w:val="00E06404"/>
    <w:rsid w:val="00E06B6B"/>
    <w:rsid w:val="00E103F7"/>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B27"/>
    <w:rsid w:val="00E77A03"/>
    <w:rsid w:val="00E822E8"/>
    <w:rsid w:val="00E82554"/>
    <w:rsid w:val="00E82606"/>
    <w:rsid w:val="00E831C1"/>
    <w:rsid w:val="00E83BFA"/>
    <w:rsid w:val="00E846C8"/>
    <w:rsid w:val="00E84957"/>
    <w:rsid w:val="00E84A55"/>
    <w:rsid w:val="00E85BFF"/>
    <w:rsid w:val="00E90391"/>
    <w:rsid w:val="00E906C2"/>
    <w:rsid w:val="00E92D9D"/>
    <w:rsid w:val="00E9311F"/>
    <w:rsid w:val="00E934D1"/>
    <w:rsid w:val="00E94AF0"/>
    <w:rsid w:val="00E94D70"/>
    <w:rsid w:val="00E9513D"/>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09BC"/>
    <w:rsid w:val="00F11586"/>
    <w:rsid w:val="00F1183B"/>
    <w:rsid w:val="00F11C9F"/>
    <w:rsid w:val="00F12263"/>
    <w:rsid w:val="00F1409D"/>
    <w:rsid w:val="00F14214"/>
    <w:rsid w:val="00F157A9"/>
    <w:rsid w:val="00F16F00"/>
    <w:rsid w:val="00F25BB6"/>
    <w:rsid w:val="00F26B7E"/>
    <w:rsid w:val="00F27554"/>
    <w:rsid w:val="00F27A3B"/>
    <w:rsid w:val="00F32780"/>
    <w:rsid w:val="00F33817"/>
    <w:rsid w:val="00F420D5"/>
    <w:rsid w:val="00F43A2A"/>
    <w:rsid w:val="00F451EA"/>
    <w:rsid w:val="00F45447"/>
    <w:rsid w:val="00F456C6"/>
    <w:rsid w:val="00F4577B"/>
    <w:rsid w:val="00F46496"/>
    <w:rsid w:val="00F474D0"/>
    <w:rsid w:val="00F50179"/>
    <w:rsid w:val="00F515EE"/>
    <w:rsid w:val="00F56511"/>
    <w:rsid w:val="00F57191"/>
    <w:rsid w:val="00F6194E"/>
    <w:rsid w:val="00F623AC"/>
    <w:rsid w:val="00F6412A"/>
    <w:rsid w:val="00F65893"/>
    <w:rsid w:val="00F66A4A"/>
    <w:rsid w:val="00F71E22"/>
    <w:rsid w:val="00F72142"/>
    <w:rsid w:val="00F72AE7"/>
    <w:rsid w:val="00F833BA"/>
    <w:rsid w:val="00F84FD0"/>
    <w:rsid w:val="00F859A8"/>
    <w:rsid w:val="00F86495"/>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314"/>
    <w:rsid w:val="00FE1FBE"/>
    <w:rsid w:val="00FE3901"/>
    <w:rsid w:val="00FE39D3"/>
    <w:rsid w:val="00FE4BCE"/>
    <w:rsid w:val="00FE54AE"/>
    <w:rsid w:val="00FE576A"/>
    <w:rsid w:val="00FE7E79"/>
    <w:rsid w:val="00FF3E7D"/>
    <w:rsid w:val="00FF5B99"/>
    <w:rsid w:val="00FF730C"/>
    <w:rsid w:val="00FF73F4"/>
    <w:rsid w:val="00FF7CE4"/>
    <w:rsid w:val="00FF7E39"/>
    <w:rsid w:val="1101692F"/>
    <w:rsid w:val="130F5C30"/>
    <w:rsid w:val="15CD1747"/>
    <w:rsid w:val="1DBE7858"/>
    <w:rsid w:val="1EBC2F71"/>
    <w:rsid w:val="32F20BA1"/>
    <w:rsid w:val="384C7FA4"/>
    <w:rsid w:val="38B93215"/>
    <w:rsid w:val="3B390F77"/>
    <w:rsid w:val="3B43600C"/>
    <w:rsid w:val="3E286B85"/>
    <w:rsid w:val="46AB11C4"/>
    <w:rsid w:val="55FF21F9"/>
    <w:rsid w:val="59E82517"/>
    <w:rsid w:val="5EC3680C"/>
    <w:rsid w:val="6171346B"/>
    <w:rsid w:val="651D3FC4"/>
    <w:rsid w:val="68CD71C5"/>
    <w:rsid w:val="6C942378"/>
    <w:rsid w:val="6EE23599"/>
    <w:rsid w:val="768D4DE5"/>
    <w:rsid w:val="77810C40"/>
    <w:rsid w:val="7EB70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Table Normal"/>
    <w:basedOn w:val="26"/>
    <w:qFormat/>
    <w:uiPriority w:val="0"/>
    <w:rPr>
      <w:rFonts w:ascii="Times New Roman" w:hAnsi="Times New Roman" w:eastAsia="Times New Roman"/>
    </w:rPr>
    <w:tblPr>
      <w:tblCellMar>
        <w:left w:w="0" w:type="dxa"/>
        <w:right w:w="0" w:type="dxa"/>
      </w:tblCellMar>
    </w:tblPr>
  </w:style>
  <w:style w:type="paragraph" w:customStyle="1" w:styleId="231">
    <w:name w:val="Table Text"/>
    <w:basedOn w:val="1"/>
    <w:semiHidden/>
    <w:qFormat/>
    <w:uiPriority w:val="0"/>
    <w:rPr>
      <w:rFonts w:ascii="宋体" w:hAnsi="宋体" w:cs="宋体"/>
      <w:sz w:val="17"/>
      <w:szCs w:val="17"/>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8.jpe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6484B9DC9BC4928BE972C31D121B5B4"/>
        <w:style w:val=""/>
        <w:category>
          <w:name w:val="常规"/>
          <w:gallery w:val="placeholder"/>
        </w:category>
        <w:types>
          <w:type w:val="bbPlcHdr"/>
        </w:types>
        <w:behaviors>
          <w:behavior w:val="content"/>
        </w:behaviors>
        <w:description w:val=""/>
        <w:guid w:val="{DCB80F69-7D2F-471D-BEA2-420BC3E03C36}"/>
      </w:docPartPr>
      <w:docPartBody>
        <w:p w14:paraId="006701FC">
          <w:pPr>
            <w:pStyle w:val="5"/>
            <w:rPr>
              <w:rFonts w:hint="eastAsia"/>
            </w:rPr>
          </w:pPr>
          <w:r>
            <w:rPr>
              <w:rStyle w:val="4"/>
              <w:rFonts w:hint="eastAsia"/>
            </w:rPr>
            <w:t>单击或点击此处输入文字。</w:t>
          </w:r>
        </w:p>
      </w:docPartBody>
    </w:docPart>
    <w:docPart>
      <w:docPartPr>
        <w:name w:val="DAA919261927447C96693722E7BA313D"/>
        <w:style w:val=""/>
        <w:category>
          <w:name w:val="常规"/>
          <w:gallery w:val="placeholder"/>
        </w:category>
        <w:types>
          <w:type w:val="bbPlcHdr"/>
        </w:types>
        <w:behaviors>
          <w:behavior w:val="content"/>
        </w:behaviors>
        <w:description w:val=""/>
        <w:guid w:val="{5C3F86C5-2A33-4780-A61B-F94402E87B39}"/>
      </w:docPartPr>
      <w:docPartBody>
        <w:p w14:paraId="27F04CB7">
          <w:pPr>
            <w:pStyle w:val="6"/>
            <w:rPr>
              <w:rFonts w:hint="eastAsia"/>
            </w:rPr>
          </w:pPr>
          <w:r>
            <w:rPr>
              <w:rStyle w:val="4"/>
              <w:rFonts w:hint="eastAsia"/>
            </w:rPr>
            <w:t>选择一项。</w:t>
          </w:r>
        </w:p>
      </w:docPartBody>
    </w:docPart>
    <w:docPart>
      <w:docPartPr>
        <w:name w:val="1596188E8990487792A2575CB245464F"/>
        <w:style w:val=""/>
        <w:category>
          <w:name w:val="常规"/>
          <w:gallery w:val="placeholder"/>
        </w:category>
        <w:types>
          <w:type w:val="bbPlcHdr"/>
        </w:types>
        <w:behaviors>
          <w:behavior w:val="content"/>
        </w:behaviors>
        <w:description w:val=""/>
        <w:guid w:val="{7686DB63-F797-42F0-9046-D57E317AB6C1}"/>
      </w:docPartPr>
      <w:docPartBody>
        <w:p w14:paraId="30A29705">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2F9"/>
    <w:rsid w:val="001846F8"/>
    <w:rsid w:val="00217497"/>
    <w:rsid w:val="003302F9"/>
    <w:rsid w:val="00344652"/>
    <w:rsid w:val="004713D5"/>
    <w:rsid w:val="005526A1"/>
    <w:rsid w:val="005C1F2A"/>
    <w:rsid w:val="007B5F37"/>
    <w:rsid w:val="008F6B82"/>
    <w:rsid w:val="009946AB"/>
    <w:rsid w:val="00AA7DFF"/>
    <w:rsid w:val="00BB121E"/>
    <w:rsid w:val="00CA3A91"/>
    <w:rsid w:val="00CD6247"/>
    <w:rsid w:val="00D27E61"/>
    <w:rsid w:val="00DE101F"/>
    <w:rsid w:val="00E92D9D"/>
    <w:rsid w:val="00E94BEA"/>
    <w:rsid w:val="00F61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6484B9DC9BC4928BE972C31D121B5B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AA919261927447C96693722E7BA313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596188E8990487792A2575CB245464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26</Pages>
  <Words>3619</Words>
  <Characters>4625</Characters>
  <Lines>1012</Lines>
  <Paragraphs>1167</Paragraphs>
  <TotalTime>210</TotalTime>
  <ScaleCrop>false</ScaleCrop>
  <LinksUpToDate>false</LinksUpToDate>
  <CharactersWithSpaces>4871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2026-01-06T15:35:00Z</dcterms:created>
  <dc:creator>刘敬东</dc:creator>
  <dc:description>&lt;config cover="true" show_menu="true" version="1.0.0" doctype="SDKXY"&gt;_x000d_
&lt;/config&gt;</dc:description>
  <cp:lastModifiedBy>fever</cp:lastModifiedBy>
  <cp:lastPrinted>2026-03-25T00:13:00Z</cp:lastPrinted>
  <dcterms:modified xsi:type="dcterms:W3CDTF">2026-03-26T07:28:37Z</dcterms:modified>
  <dc:title>团体标准</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eyJoZGlkIjoiOWEwZDc4NjI1MWFjMmM2YzVlMTM4MGY4MGE1NmU0NTkiLCJ1c2VySWQiOiIzMzM3MzQ1NDgifQ==</vt:lpwstr>
  </property>
  <property fmtid="{D5CDD505-2E9C-101B-9397-08002B2CF9AE}" pid="15" name="KSOProductBuildVer">
    <vt:lpwstr>2052-12.1.0.25225</vt:lpwstr>
  </property>
  <property fmtid="{D5CDD505-2E9C-101B-9397-08002B2CF9AE}" pid="16" name="ICV">
    <vt:lpwstr>0FB85F1E72C44AB08F76E88FD1DF6CB6_13</vt:lpwstr>
  </property>
</Properties>
</file>